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51A6" w:rsidRPr="00377102" w:rsidRDefault="00FD51A6" w:rsidP="00FD51A6">
      <w:pPr>
        <w:jc w:val="right"/>
        <w:rPr>
          <w:rFonts w:cs="Miriam"/>
          <w:b/>
          <w:bCs/>
          <w:sz w:val="16"/>
          <w:szCs w:val="16"/>
          <w:u w:val="single"/>
        </w:rPr>
      </w:pPr>
    </w:p>
    <w:p w:rsidR="00FD51A6" w:rsidRPr="00377102" w:rsidRDefault="00FD51A6" w:rsidP="00FD51A6">
      <w:pPr>
        <w:jc w:val="right"/>
        <w:rPr>
          <w:rFonts w:cs="Miriam"/>
          <w:b/>
          <w:bCs/>
          <w:sz w:val="16"/>
          <w:szCs w:val="16"/>
          <w:u w:val="single"/>
        </w:rPr>
      </w:pPr>
    </w:p>
    <w:tbl>
      <w:tblPr>
        <w:bidiVisual/>
        <w:tblW w:w="8363" w:type="dxa"/>
        <w:tblInd w:w="9" w:type="dxa"/>
        <w:tblLook w:val="0000" w:firstRow="0" w:lastRow="0" w:firstColumn="0" w:lastColumn="0" w:noHBand="0" w:noVBand="0"/>
      </w:tblPr>
      <w:tblGrid>
        <w:gridCol w:w="8363"/>
      </w:tblGrid>
      <w:tr w:rsidR="00FD51A6" w:rsidTr="00091862">
        <w:tc>
          <w:tcPr>
            <w:tcW w:w="7848" w:type="dxa"/>
          </w:tcPr>
          <w:p w:rsidR="00FD51A6" w:rsidRPr="00624A42" w:rsidRDefault="00FD51A6" w:rsidP="00091862">
            <w:pPr>
              <w:pStyle w:val="FileNumber0"/>
              <w:rPr>
                <w:sz w:val="28"/>
                <w:u w:val="single"/>
                <w:rtl/>
              </w:rPr>
            </w:pPr>
            <w:r>
              <w:rPr>
                <w:u w:val="single"/>
                <w:rtl/>
              </w:rPr>
              <w:t>בבית המשפט העליון</w:t>
            </w:r>
          </w:p>
        </w:tc>
      </w:tr>
    </w:tbl>
    <w:p w:rsidR="00FD51A6" w:rsidRDefault="00FD51A6" w:rsidP="00FD51A6">
      <w:pPr>
        <w:jc w:val="right"/>
        <w:rPr>
          <w:rFonts w:cs="Miriam"/>
          <w:b/>
          <w:bCs/>
          <w:u w:val="single"/>
        </w:rPr>
      </w:pPr>
    </w:p>
    <w:tbl>
      <w:tblPr>
        <w:bidiVisual/>
        <w:tblW w:w="8363" w:type="dxa"/>
        <w:tblLook w:val="0000" w:firstRow="0" w:lastRow="0" w:firstColumn="0" w:lastColumn="0" w:noHBand="0" w:noVBand="0"/>
      </w:tblPr>
      <w:tblGrid>
        <w:gridCol w:w="8363"/>
      </w:tblGrid>
      <w:tr w:rsidR="00FD51A6" w:rsidTr="00091862">
        <w:trPr>
          <w:trHeight w:val="342"/>
        </w:trPr>
        <w:tc>
          <w:tcPr>
            <w:tcW w:w="9828" w:type="dxa"/>
          </w:tcPr>
          <w:p w:rsidR="00FD51A6" w:rsidRPr="00810894" w:rsidRDefault="00FD51A6" w:rsidP="00091862">
            <w:pPr>
              <w:pStyle w:val="FileNumber"/>
              <w:rPr>
                <w:sz w:val="28"/>
                <w:szCs w:val="28"/>
              </w:rPr>
            </w:pPr>
            <w:bookmarkStart w:id="0" w:name="casename_body"/>
            <w:r>
              <w:rPr>
                <w:sz w:val="28"/>
                <w:szCs w:val="28"/>
                <w:rtl/>
              </w:rPr>
              <w:t>רע"א  1502/22</w:t>
            </w:r>
          </w:p>
        </w:tc>
      </w:tr>
      <w:bookmarkEnd w:id="0"/>
    </w:tbl>
    <w:p w:rsidR="00FD51A6" w:rsidRDefault="00FD51A6" w:rsidP="00FD51A6">
      <w:pPr>
        <w:jc w:val="right"/>
        <w:rPr>
          <w:rFonts w:cs="Miriam"/>
          <w:b/>
          <w:bCs/>
          <w:u w:val="single"/>
        </w:rPr>
      </w:pPr>
    </w:p>
    <w:tbl>
      <w:tblPr>
        <w:bidiVisual/>
        <w:tblW w:w="8364" w:type="dxa"/>
        <w:tblLayout w:type="fixed"/>
        <w:tblLook w:val="0000" w:firstRow="0" w:lastRow="0" w:firstColumn="0" w:lastColumn="0" w:noHBand="0" w:noVBand="0"/>
      </w:tblPr>
      <w:tblGrid>
        <w:gridCol w:w="3210"/>
        <w:gridCol w:w="5154"/>
      </w:tblGrid>
      <w:tr w:rsidR="00FD51A6" w:rsidTr="00091862">
        <w:trPr>
          <w:trHeight w:val="287"/>
        </w:trPr>
        <w:tc>
          <w:tcPr>
            <w:tcW w:w="3261" w:type="dxa"/>
          </w:tcPr>
          <w:p w:rsidR="00FD51A6" w:rsidRDefault="00FD51A6" w:rsidP="00091862">
            <w:pPr>
              <w:pStyle w:val="BodyRuller"/>
              <w:rPr>
                <w:rFonts w:cs="Miriam"/>
                <w:b/>
                <w:bCs/>
                <w:u w:val="single"/>
              </w:rPr>
            </w:pPr>
            <w:r>
              <w:rPr>
                <w:rFonts w:hint="cs"/>
                <w:rtl/>
              </w:rPr>
              <w:t>ל</w:t>
            </w:r>
            <w:r>
              <w:rPr>
                <w:rtl/>
              </w:rPr>
              <w:t>פני:</w:t>
            </w:r>
            <w:r>
              <w:rPr>
                <w:rtl/>
              </w:rPr>
              <w:tab/>
            </w:r>
          </w:p>
        </w:tc>
        <w:tc>
          <w:tcPr>
            <w:tcW w:w="5239" w:type="dxa"/>
          </w:tcPr>
          <w:p w:rsidR="00FD51A6" w:rsidRDefault="00FD51A6" w:rsidP="00091862">
            <w:pPr>
              <w:pStyle w:val="BodyRuller"/>
            </w:pPr>
            <w:r>
              <w:rPr>
                <w:rtl/>
              </w:rPr>
              <w:t xml:space="preserve">כבוד השופטת י' </w:t>
            </w:r>
            <w:proofErr w:type="spellStart"/>
            <w:r>
              <w:rPr>
                <w:rtl/>
              </w:rPr>
              <w:t>וילנר</w:t>
            </w:r>
            <w:proofErr w:type="spellEnd"/>
          </w:p>
        </w:tc>
      </w:tr>
    </w:tbl>
    <w:p w:rsidR="00FD51A6" w:rsidRDefault="00FD51A6" w:rsidP="00FD51A6">
      <w:pPr>
        <w:pStyle w:val="Ruller3"/>
        <w:rPr>
          <w:rFonts w:cs="Miriam"/>
          <w:b/>
          <w:bCs/>
          <w:u w:val="single"/>
          <w:rtl/>
        </w:rPr>
      </w:pPr>
    </w:p>
    <w:tbl>
      <w:tblPr>
        <w:bidiVisual/>
        <w:tblW w:w="8364" w:type="dxa"/>
        <w:tblLayout w:type="fixed"/>
        <w:tblLook w:val="0000" w:firstRow="0" w:lastRow="0" w:firstColumn="0" w:lastColumn="0" w:noHBand="0" w:noVBand="0"/>
      </w:tblPr>
      <w:tblGrid>
        <w:gridCol w:w="3210"/>
        <w:gridCol w:w="5154"/>
      </w:tblGrid>
      <w:tr w:rsidR="00FD51A6" w:rsidTr="00091862">
        <w:trPr>
          <w:trHeight w:val="287"/>
        </w:trPr>
        <w:tc>
          <w:tcPr>
            <w:tcW w:w="3261" w:type="dxa"/>
          </w:tcPr>
          <w:p w:rsidR="00FD51A6" w:rsidRPr="00523686" w:rsidRDefault="00FD51A6" w:rsidP="00091862">
            <w:pPr>
              <w:pStyle w:val="BodyRuller"/>
              <w:rPr>
                <w:rFonts w:ascii="David" w:hAnsi="David"/>
              </w:rPr>
            </w:pPr>
            <w:r>
              <w:rPr>
                <w:rFonts w:ascii="David" w:hAnsi="David"/>
                <w:rtl/>
              </w:rPr>
              <w:t>המבקשים:</w:t>
            </w:r>
          </w:p>
        </w:tc>
        <w:tc>
          <w:tcPr>
            <w:tcW w:w="5239" w:type="dxa"/>
          </w:tcPr>
          <w:p w:rsidR="00FD51A6" w:rsidRDefault="00FD51A6" w:rsidP="00091862">
            <w:pPr>
              <w:pStyle w:val="BodyRuller"/>
            </w:pPr>
            <w:r>
              <w:rPr>
                <w:rtl/>
              </w:rPr>
              <w:t>1. פלוני</w:t>
            </w:r>
          </w:p>
        </w:tc>
      </w:tr>
      <w:tr w:rsidR="00FD51A6" w:rsidTr="00091862">
        <w:trPr>
          <w:trHeight w:val="287"/>
        </w:trPr>
        <w:tc>
          <w:tcPr>
            <w:tcW w:w="3261" w:type="dxa"/>
          </w:tcPr>
          <w:p w:rsidR="00FD51A6" w:rsidRDefault="00FD51A6" w:rsidP="00091862">
            <w:pPr>
              <w:pStyle w:val="BodyRuller"/>
              <w:rPr>
                <w:rFonts w:ascii="David" w:hAnsi="David"/>
                <w:rtl/>
              </w:rPr>
            </w:pPr>
          </w:p>
        </w:tc>
        <w:tc>
          <w:tcPr>
            <w:tcW w:w="5239" w:type="dxa"/>
          </w:tcPr>
          <w:p w:rsidR="00FD51A6" w:rsidRDefault="00FD51A6" w:rsidP="00091862">
            <w:pPr>
              <w:pStyle w:val="BodyRuller"/>
              <w:rPr>
                <w:rtl/>
              </w:rPr>
            </w:pPr>
            <w:r>
              <w:rPr>
                <w:rtl/>
              </w:rPr>
              <w:t>2. פלוני</w:t>
            </w:r>
          </w:p>
        </w:tc>
      </w:tr>
      <w:tr w:rsidR="00FD51A6" w:rsidTr="00091862">
        <w:trPr>
          <w:trHeight w:val="287"/>
        </w:trPr>
        <w:tc>
          <w:tcPr>
            <w:tcW w:w="3261" w:type="dxa"/>
          </w:tcPr>
          <w:p w:rsidR="00FD51A6" w:rsidRDefault="00FD51A6" w:rsidP="00091862">
            <w:pPr>
              <w:pStyle w:val="BodyRuller"/>
              <w:rPr>
                <w:rFonts w:ascii="David" w:hAnsi="David"/>
                <w:rtl/>
              </w:rPr>
            </w:pPr>
          </w:p>
        </w:tc>
        <w:tc>
          <w:tcPr>
            <w:tcW w:w="5239" w:type="dxa"/>
          </w:tcPr>
          <w:p w:rsidR="00FD51A6" w:rsidRDefault="00FD51A6" w:rsidP="00091862">
            <w:pPr>
              <w:pStyle w:val="BodyRuller"/>
              <w:rPr>
                <w:rtl/>
              </w:rPr>
            </w:pPr>
            <w:r>
              <w:rPr>
                <w:rtl/>
              </w:rPr>
              <w:t>3. פלוני</w:t>
            </w:r>
            <w:r>
              <w:rPr>
                <w:rFonts w:hint="cs"/>
                <w:rtl/>
              </w:rPr>
              <w:t>ת</w:t>
            </w:r>
          </w:p>
        </w:tc>
      </w:tr>
    </w:tbl>
    <w:p w:rsidR="00FD51A6" w:rsidRDefault="00FD51A6" w:rsidP="00FD51A6">
      <w:pPr>
        <w:pStyle w:val="Ruller3"/>
      </w:pPr>
      <w:r>
        <w:tab/>
      </w:r>
    </w:p>
    <w:tbl>
      <w:tblPr>
        <w:bidiVisual/>
        <w:tblW w:w="8363" w:type="dxa"/>
        <w:tblLook w:val="0000" w:firstRow="0" w:lastRow="0" w:firstColumn="0" w:lastColumn="0" w:noHBand="0" w:noVBand="0"/>
      </w:tblPr>
      <w:tblGrid>
        <w:gridCol w:w="3222"/>
        <w:gridCol w:w="5141"/>
      </w:tblGrid>
      <w:tr w:rsidR="00FD51A6" w:rsidTr="00091862">
        <w:tc>
          <w:tcPr>
            <w:tcW w:w="3284" w:type="dxa"/>
          </w:tcPr>
          <w:p w:rsidR="00FD51A6" w:rsidRDefault="00FD51A6" w:rsidP="00091862">
            <w:pPr>
              <w:pStyle w:val="BodyRuller"/>
            </w:pPr>
          </w:p>
        </w:tc>
        <w:tc>
          <w:tcPr>
            <w:tcW w:w="5238" w:type="dxa"/>
          </w:tcPr>
          <w:p w:rsidR="00FD51A6" w:rsidRDefault="00FD51A6" w:rsidP="00091862">
            <w:pPr>
              <w:pStyle w:val="BodyRuller"/>
            </w:pPr>
            <w:r>
              <w:rPr>
                <w:rFonts w:hint="cs"/>
                <w:rtl/>
              </w:rPr>
              <w:t>נ</w:t>
            </w:r>
            <w:r>
              <w:t xml:space="preserve">  </w:t>
            </w:r>
            <w:r>
              <w:rPr>
                <w:rFonts w:hint="cs"/>
                <w:rtl/>
              </w:rPr>
              <w:t>ג</w:t>
            </w:r>
            <w:r>
              <w:t xml:space="preserve">  </w:t>
            </w:r>
            <w:r>
              <w:rPr>
                <w:rFonts w:hint="cs"/>
                <w:rtl/>
              </w:rPr>
              <w:t>ד</w:t>
            </w:r>
          </w:p>
        </w:tc>
      </w:tr>
    </w:tbl>
    <w:p w:rsidR="00FD51A6" w:rsidRDefault="00FD51A6" w:rsidP="00FD51A6">
      <w:pPr>
        <w:pStyle w:val="Ruller3"/>
        <w:rPr>
          <w:rtl/>
        </w:rPr>
      </w:pPr>
      <w:r>
        <w:tab/>
      </w:r>
      <w:r>
        <w:tab/>
      </w:r>
      <w:r>
        <w:tab/>
        <w:t xml:space="preserve">     </w:t>
      </w:r>
    </w:p>
    <w:tbl>
      <w:tblPr>
        <w:bidiVisual/>
        <w:tblW w:w="8364" w:type="dxa"/>
        <w:tblLayout w:type="fixed"/>
        <w:tblLook w:val="0000" w:firstRow="0" w:lastRow="0" w:firstColumn="0" w:lastColumn="0" w:noHBand="0" w:noVBand="0"/>
      </w:tblPr>
      <w:tblGrid>
        <w:gridCol w:w="3210"/>
        <w:gridCol w:w="5154"/>
      </w:tblGrid>
      <w:tr w:rsidR="00FD51A6" w:rsidTr="00091862">
        <w:trPr>
          <w:trHeight w:val="287"/>
        </w:trPr>
        <w:tc>
          <w:tcPr>
            <w:tcW w:w="3261" w:type="dxa"/>
          </w:tcPr>
          <w:p w:rsidR="00FD51A6" w:rsidRPr="00523686" w:rsidRDefault="00FD51A6" w:rsidP="00091862">
            <w:pPr>
              <w:pStyle w:val="BodyRuller"/>
              <w:rPr>
                <w:rFonts w:ascii="David" w:hAnsi="David"/>
              </w:rPr>
            </w:pPr>
            <w:r>
              <w:rPr>
                <w:rFonts w:ascii="David" w:hAnsi="David"/>
                <w:rtl/>
              </w:rPr>
              <w:t>המשיבים:</w:t>
            </w:r>
          </w:p>
        </w:tc>
        <w:tc>
          <w:tcPr>
            <w:tcW w:w="5239" w:type="dxa"/>
          </w:tcPr>
          <w:p w:rsidR="00FD51A6" w:rsidRDefault="00FD51A6" w:rsidP="00091862">
            <w:pPr>
              <w:pStyle w:val="BodyRuller"/>
            </w:pPr>
            <w:r>
              <w:rPr>
                <w:rtl/>
              </w:rPr>
              <w:t>1. פלוני</w:t>
            </w:r>
          </w:p>
        </w:tc>
      </w:tr>
      <w:tr w:rsidR="00FD51A6" w:rsidTr="00091862">
        <w:trPr>
          <w:trHeight w:val="287"/>
        </w:trPr>
        <w:tc>
          <w:tcPr>
            <w:tcW w:w="3261" w:type="dxa"/>
          </w:tcPr>
          <w:p w:rsidR="00FD51A6" w:rsidRDefault="00FD51A6" w:rsidP="00091862">
            <w:pPr>
              <w:pStyle w:val="BodyRuller"/>
              <w:rPr>
                <w:rFonts w:ascii="David" w:hAnsi="David"/>
                <w:rtl/>
              </w:rPr>
            </w:pPr>
          </w:p>
        </w:tc>
        <w:tc>
          <w:tcPr>
            <w:tcW w:w="5239" w:type="dxa"/>
          </w:tcPr>
          <w:p w:rsidR="00FD51A6" w:rsidRDefault="00FD51A6" w:rsidP="00091862">
            <w:pPr>
              <w:pStyle w:val="BodyRuller"/>
              <w:rPr>
                <w:rtl/>
              </w:rPr>
            </w:pPr>
            <w:r>
              <w:rPr>
                <w:rtl/>
              </w:rPr>
              <w:t>2. ביטוח חקלאי חברה לביטוח בע"מ</w:t>
            </w:r>
          </w:p>
        </w:tc>
      </w:tr>
      <w:tr w:rsidR="00FD51A6" w:rsidTr="00091862">
        <w:trPr>
          <w:trHeight w:val="287"/>
        </w:trPr>
        <w:tc>
          <w:tcPr>
            <w:tcW w:w="3261" w:type="dxa"/>
          </w:tcPr>
          <w:p w:rsidR="00FD51A6" w:rsidRDefault="00FD51A6" w:rsidP="00091862">
            <w:pPr>
              <w:pStyle w:val="BodyRuller"/>
              <w:rPr>
                <w:rFonts w:ascii="David" w:hAnsi="David"/>
                <w:rtl/>
              </w:rPr>
            </w:pPr>
          </w:p>
        </w:tc>
        <w:tc>
          <w:tcPr>
            <w:tcW w:w="5239" w:type="dxa"/>
          </w:tcPr>
          <w:p w:rsidR="00FD51A6" w:rsidRDefault="00FD51A6" w:rsidP="00091862">
            <w:pPr>
              <w:pStyle w:val="BodyRuller"/>
              <w:rPr>
                <w:rtl/>
              </w:rPr>
            </w:pPr>
            <w:r>
              <w:rPr>
                <w:rtl/>
              </w:rPr>
              <w:t>3. קרנית קרן לפיצוי נפגעי תאונות דרכים</w:t>
            </w:r>
            <w:r>
              <w:rPr>
                <w:rFonts w:hint="cs"/>
                <w:rtl/>
              </w:rPr>
              <w:t xml:space="preserve"> (פורמלית)</w:t>
            </w:r>
          </w:p>
        </w:tc>
      </w:tr>
    </w:tbl>
    <w:p w:rsidR="00FD51A6" w:rsidRDefault="00FD51A6" w:rsidP="00FD51A6">
      <w:pPr>
        <w:pStyle w:val="Ruller3"/>
      </w:pPr>
      <w:r>
        <w:rPr>
          <w:rFonts w:hint="cs"/>
          <w:rtl/>
        </w:rPr>
        <w:tab/>
      </w:r>
    </w:p>
    <w:tbl>
      <w:tblPr>
        <w:bidiVisual/>
        <w:tblW w:w="0" w:type="auto"/>
        <w:tblInd w:w="3209" w:type="dxa"/>
        <w:tblLook w:val="0000" w:firstRow="0" w:lastRow="0" w:firstColumn="0" w:lastColumn="0" w:noHBand="0" w:noVBand="0"/>
      </w:tblPr>
      <w:tblGrid>
        <w:gridCol w:w="5103"/>
      </w:tblGrid>
      <w:tr w:rsidR="00FD51A6" w:rsidTr="00091862">
        <w:tc>
          <w:tcPr>
            <w:tcW w:w="5103" w:type="dxa"/>
          </w:tcPr>
          <w:p w:rsidR="00FD51A6" w:rsidRPr="00265F6E" w:rsidRDefault="00FD51A6" w:rsidP="00091862">
            <w:pPr>
              <w:pStyle w:val="BodyRuller"/>
              <w:jc w:val="both"/>
              <w:rPr>
                <w:sz w:val="24"/>
                <w:szCs w:val="24"/>
              </w:rPr>
            </w:pPr>
            <w:r>
              <w:rPr>
                <w:sz w:val="24"/>
                <w:szCs w:val="24"/>
                <w:rtl/>
              </w:rPr>
              <w:t>בקשת רשות ערעור על החלטת בית המשפט המחוזי חיפה</w:t>
            </w:r>
            <w:r>
              <w:rPr>
                <w:rFonts w:hint="cs"/>
                <w:sz w:val="24"/>
                <w:szCs w:val="24"/>
                <w:rtl/>
              </w:rPr>
              <w:t xml:space="preserve"> (כב' סגנית הנשיא השופטת ב' </w:t>
            </w:r>
            <w:proofErr w:type="spellStart"/>
            <w:r>
              <w:rPr>
                <w:rFonts w:hint="cs"/>
                <w:sz w:val="24"/>
                <w:szCs w:val="24"/>
                <w:rtl/>
              </w:rPr>
              <w:t>טאובר</w:t>
            </w:r>
            <w:proofErr w:type="spellEnd"/>
            <w:r>
              <w:rPr>
                <w:rFonts w:hint="cs"/>
                <w:sz w:val="24"/>
                <w:szCs w:val="24"/>
                <w:rtl/>
              </w:rPr>
              <w:t>)</w:t>
            </w:r>
            <w:r>
              <w:rPr>
                <w:sz w:val="24"/>
                <w:szCs w:val="24"/>
                <w:rtl/>
              </w:rPr>
              <w:t xml:space="preserve"> מיום 05.01.2022 בתיק א   -761/08</w:t>
            </w:r>
          </w:p>
        </w:tc>
      </w:tr>
    </w:tbl>
    <w:p w:rsidR="00FD51A6" w:rsidRDefault="00FD51A6" w:rsidP="00FD51A6">
      <w:pPr>
        <w:pStyle w:val="Ruller3"/>
        <w:rPr>
          <w:rtl/>
        </w:rPr>
      </w:pPr>
      <w:r>
        <w:rPr>
          <w:rFonts w:hint="cs"/>
          <w:rtl/>
        </w:rPr>
        <w:tab/>
      </w:r>
    </w:p>
    <w:p w:rsidR="00FD51A6" w:rsidRDefault="00FD51A6" w:rsidP="00FD51A6">
      <w:pPr>
        <w:pStyle w:val="Ruller3"/>
        <w:rPr>
          <w:rtl/>
        </w:rPr>
      </w:pPr>
      <w:r>
        <w:rPr>
          <w:rFonts w:hint="cs"/>
          <w:rtl/>
        </w:rPr>
        <w:t>בשם המבקשים:</w:t>
      </w:r>
      <w:r>
        <w:rPr>
          <w:rtl/>
        </w:rPr>
        <w:tab/>
      </w:r>
      <w:r>
        <w:rPr>
          <w:rFonts w:hint="cs"/>
          <w:rtl/>
        </w:rPr>
        <w:t xml:space="preserve">עו"ד עבד </w:t>
      </w:r>
      <w:proofErr w:type="spellStart"/>
      <w:r>
        <w:rPr>
          <w:rFonts w:hint="cs"/>
          <w:rtl/>
        </w:rPr>
        <w:t>אלכרים</w:t>
      </w:r>
      <w:proofErr w:type="spellEnd"/>
      <w:r>
        <w:rPr>
          <w:rFonts w:hint="cs"/>
          <w:rtl/>
        </w:rPr>
        <w:t xml:space="preserve"> </w:t>
      </w:r>
      <w:proofErr w:type="spellStart"/>
      <w:r>
        <w:rPr>
          <w:rFonts w:hint="cs"/>
          <w:rtl/>
        </w:rPr>
        <w:t>בדארנה</w:t>
      </w:r>
      <w:proofErr w:type="spellEnd"/>
    </w:p>
    <w:p w:rsidR="00FD51A6" w:rsidRDefault="00FD51A6" w:rsidP="00FD51A6">
      <w:pPr>
        <w:pStyle w:val="Ruller3"/>
        <w:rPr>
          <w:rtl/>
        </w:rPr>
      </w:pPr>
      <w:r>
        <w:rPr>
          <w:rFonts w:hint="cs"/>
          <w:rtl/>
        </w:rPr>
        <w:t>בשם המשיבים 2-1:</w:t>
      </w:r>
      <w:r>
        <w:rPr>
          <w:rtl/>
        </w:rPr>
        <w:tab/>
      </w:r>
      <w:r>
        <w:rPr>
          <w:rFonts w:hint="cs"/>
          <w:rtl/>
        </w:rPr>
        <w:t>עו"ד יוסף הוד</w:t>
      </w:r>
    </w:p>
    <w:p w:rsidR="00FD51A6" w:rsidRPr="00186617" w:rsidRDefault="00FD51A6" w:rsidP="00FD51A6">
      <w:pPr>
        <w:pStyle w:val="Ruller3"/>
      </w:pPr>
    </w:p>
    <w:tbl>
      <w:tblPr>
        <w:bidiVisual/>
        <w:tblW w:w="8363" w:type="dxa"/>
        <w:tblLook w:val="0000" w:firstRow="0" w:lastRow="0" w:firstColumn="0" w:lastColumn="0" w:noHBand="0" w:noVBand="0"/>
      </w:tblPr>
      <w:tblGrid>
        <w:gridCol w:w="8363"/>
      </w:tblGrid>
      <w:tr w:rsidR="00FD51A6" w:rsidTr="00091862">
        <w:tc>
          <w:tcPr>
            <w:tcW w:w="9837" w:type="dxa"/>
          </w:tcPr>
          <w:p w:rsidR="00FD51A6" w:rsidRDefault="00FD51A6" w:rsidP="00091862">
            <w:pPr>
              <w:pStyle w:val="DocumentHead"/>
            </w:pPr>
            <w:bookmarkStart w:id="1" w:name="secretary"/>
            <w:bookmarkStart w:id="2" w:name="BeginProtocol"/>
            <w:bookmarkEnd w:id="1"/>
            <w:bookmarkEnd w:id="2"/>
            <w:r>
              <w:rPr>
                <w:rFonts w:hint="cs"/>
                <w:rtl/>
              </w:rPr>
              <w:t>פסק-דין</w:t>
            </w:r>
          </w:p>
        </w:tc>
      </w:tr>
    </w:tbl>
    <w:p w:rsidR="00FD51A6" w:rsidRDefault="00FD51A6" w:rsidP="00FD51A6">
      <w:pPr>
        <w:pStyle w:val="BODYVERDICT"/>
      </w:pPr>
    </w:p>
    <w:p w:rsidR="00FD51A6" w:rsidRDefault="00FD51A6" w:rsidP="00FD51A6">
      <w:pPr>
        <w:pStyle w:val="Ruller4"/>
        <w:numPr>
          <w:ilvl w:val="0"/>
          <w:numId w:val="0"/>
        </w:numPr>
        <w:rPr>
          <w:rtl/>
        </w:rPr>
      </w:pPr>
      <w:bookmarkStart w:id="3" w:name="Writer_Name"/>
      <w:bookmarkEnd w:id="3"/>
      <w:r>
        <w:rPr>
          <w:rtl/>
        </w:rPr>
        <w:tab/>
      </w:r>
      <w:r>
        <w:rPr>
          <w:rFonts w:hint="cs"/>
          <w:rtl/>
        </w:rPr>
        <w:t>עניינה של בק</w:t>
      </w:r>
      <w:r w:rsidRPr="009378BD">
        <w:rPr>
          <w:rFonts w:hint="cs"/>
          <w:rtl/>
        </w:rPr>
        <w:t xml:space="preserve">שת רשות </w:t>
      </w:r>
      <w:r>
        <w:rPr>
          <w:rFonts w:hint="cs"/>
          <w:rtl/>
        </w:rPr>
        <w:t>ה</w:t>
      </w:r>
      <w:r w:rsidRPr="009378BD">
        <w:rPr>
          <w:rFonts w:hint="cs"/>
          <w:rtl/>
        </w:rPr>
        <w:t xml:space="preserve">ערעור </w:t>
      </w:r>
      <w:r>
        <w:rPr>
          <w:rFonts w:hint="cs"/>
          <w:rtl/>
        </w:rPr>
        <w:t xml:space="preserve">בהחלטה מיום 5.1.2022 </w:t>
      </w:r>
      <w:r w:rsidRPr="009378BD">
        <w:rPr>
          <w:rFonts w:hint="cs"/>
          <w:rtl/>
        </w:rPr>
        <w:t xml:space="preserve">של בית המשפט המחוזי </w:t>
      </w:r>
      <w:r>
        <w:rPr>
          <w:rFonts w:hint="cs"/>
          <w:rtl/>
        </w:rPr>
        <w:t>בחיפה</w:t>
      </w:r>
      <w:r w:rsidRPr="009378BD">
        <w:rPr>
          <w:rFonts w:hint="cs"/>
          <w:rtl/>
        </w:rPr>
        <w:t xml:space="preserve"> (כב' </w:t>
      </w:r>
      <w:r>
        <w:rPr>
          <w:rFonts w:hint="cs"/>
          <w:rtl/>
        </w:rPr>
        <w:t xml:space="preserve">סגנית הנשיא השופטת </w:t>
      </w:r>
      <w:r w:rsidRPr="00934136">
        <w:rPr>
          <w:rFonts w:ascii="Century" w:hAnsi="Century" w:cs="Miriam" w:hint="cs"/>
          <w:b/>
          <w:spacing w:val="0"/>
          <w:sz w:val="22"/>
          <w:szCs w:val="24"/>
          <w:rtl/>
        </w:rPr>
        <w:t>ב'</w:t>
      </w:r>
      <w:r>
        <w:rPr>
          <w:rFonts w:hint="cs"/>
          <w:rtl/>
        </w:rPr>
        <w:t xml:space="preserve"> </w:t>
      </w:r>
      <w:proofErr w:type="spellStart"/>
      <w:r>
        <w:rPr>
          <w:rFonts w:cs="Miriam" w:hint="cs"/>
          <w:b/>
          <w:spacing w:val="0"/>
          <w:szCs w:val="24"/>
          <w:rtl/>
        </w:rPr>
        <w:t>טאובר</w:t>
      </w:r>
      <w:proofErr w:type="spellEnd"/>
      <w:r w:rsidRPr="009378BD">
        <w:rPr>
          <w:rFonts w:hint="cs"/>
          <w:rtl/>
        </w:rPr>
        <w:t>) ב</w:t>
      </w:r>
      <w:r>
        <w:rPr>
          <w:rFonts w:hint="cs"/>
          <w:rtl/>
        </w:rPr>
        <w:t>ת</w:t>
      </w:r>
      <w:r w:rsidRPr="009378BD">
        <w:rPr>
          <w:rFonts w:hint="cs"/>
          <w:rtl/>
        </w:rPr>
        <w:t xml:space="preserve">"א </w:t>
      </w:r>
      <w:r>
        <w:rPr>
          <w:rFonts w:hint="cs"/>
          <w:rtl/>
        </w:rPr>
        <w:t xml:space="preserve">761/08, שבמסגרתה הורה בית המשפט להעביר למשיבה סכום של מיליון ש"ח, אשר הופקד בחשבון נאמנות בהתאם לפסק הדין שניתן בשנת 2014 בתביעת המבקשים (להלן גם: </w:t>
      </w:r>
      <w:r w:rsidRPr="00416FF3">
        <w:rPr>
          <w:rFonts w:ascii="Century" w:hAnsi="Century" w:cs="Miriam" w:hint="eastAsia"/>
          <w:b/>
          <w:spacing w:val="0"/>
          <w:sz w:val="22"/>
          <w:szCs w:val="24"/>
          <w:rtl/>
        </w:rPr>
        <w:t>ההחלטה</w:t>
      </w:r>
      <w:r>
        <w:rPr>
          <w:rFonts w:hint="cs"/>
          <w:rtl/>
        </w:rPr>
        <w:t xml:space="preserve">, </w:t>
      </w:r>
      <w:r w:rsidRPr="00A742D7">
        <w:rPr>
          <w:rFonts w:ascii="Century" w:hAnsi="Century" w:cs="Miriam" w:hint="cs"/>
          <w:b/>
          <w:spacing w:val="0"/>
          <w:sz w:val="22"/>
          <w:szCs w:val="24"/>
          <w:rtl/>
        </w:rPr>
        <w:t xml:space="preserve">הסכום </w:t>
      </w:r>
      <w:r>
        <w:rPr>
          <w:rFonts w:ascii="Century" w:hAnsi="Century" w:cs="Miriam" w:hint="cs"/>
          <w:b/>
          <w:spacing w:val="0"/>
          <w:sz w:val="22"/>
          <w:szCs w:val="24"/>
          <w:rtl/>
        </w:rPr>
        <w:t>שהופקד</w:t>
      </w:r>
      <w:r>
        <w:rPr>
          <w:rFonts w:hint="cs"/>
          <w:rtl/>
        </w:rPr>
        <w:t xml:space="preserve"> ו</w:t>
      </w:r>
      <w:r w:rsidRPr="00416FF3">
        <w:rPr>
          <w:rFonts w:ascii="Century" w:hAnsi="Century" w:cs="Miriam" w:hint="eastAsia"/>
          <w:b/>
          <w:spacing w:val="0"/>
          <w:sz w:val="22"/>
          <w:szCs w:val="24"/>
          <w:rtl/>
        </w:rPr>
        <w:t>פסק</w:t>
      </w:r>
      <w:r w:rsidRPr="00416FF3">
        <w:rPr>
          <w:rFonts w:ascii="Century" w:hAnsi="Century" w:cs="Miriam"/>
          <w:b/>
          <w:spacing w:val="0"/>
          <w:sz w:val="22"/>
          <w:szCs w:val="24"/>
          <w:rtl/>
        </w:rPr>
        <w:t xml:space="preserve"> </w:t>
      </w:r>
      <w:r w:rsidRPr="00416FF3">
        <w:rPr>
          <w:rFonts w:ascii="Century" w:hAnsi="Century" w:cs="Miriam" w:hint="eastAsia"/>
          <w:b/>
          <w:spacing w:val="0"/>
          <w:sz w:val="22"/>
          <w:szCs w:val="24"/>
          <w:rtl/>
        </w:rPr>
        <w:t>הדין</w:t>
      </w:r>
      <w:r>
        <w:rPr>
          <w:rFonts w:hint="cs"/>
          <w:rtl/>
        </w:rPr>
        <w:t xml:space="preserve"> בהתאמה). </w:t>
      </w:r>
    </w:p>
    <w:p w:rsidR="00FD51A6" w:rsidRDefault="00FD51A6" w:rsidP="00FD51A6">
      <w:pPr>
        <w:tabs>
          <w:tab w:val="left" w:pos="800"/>
        </w:tabs>
        <w:jc w:val="both"/>
        <w:rPr>
          <w:sz w:val="22"/>
          <w:rtl/>
        </w:rPr>
      </w:pPr>
    </w:p>
    <w:p w:rsidR="00FD51A6" w:rsidRPr="000D21F0" w:rsidRDefault="00FD51A6" w:rsidP="00FD51A6">
      <w:pPr>
        <w:tabs>
          <w:tab w:val="left" w:pos="800"/>
        </w:tabs>
        <w:jc w:val="both"/>
        <w:rPr>
          <w:rFonts w:cs="Miriam"/>
          <w:b/>
          <w:sz w:val="22"/>
          <w:rtl/>
        </w:rPr>
      </w:pPr>
      <w:r w:rsidRPr="000D21F0">
        <w:rPr>
          <w:rFonts w:cs="Miriam" w:hint="cs"/>
          <w:b/>
          <w:sz w:val="22"/>
          <w:rtl/>
        </w:rPr>
        <w:t>רקע</w:t>
      </w:r>
    </w:p>
    <w:p w:rsidR="00FD51A6" w:rsidRPr="009E0F86" w:rsidRDefault="00FD51A6" w:rsidP="00FD51A6">
      <w:pPr>
        <w:tabs>
          <w:tab w:val="left" w:pos="800"/>
        </w:tabs>
        <w:jc w:val="both"/>
        <w:rPr>
          <w:sz w:val="22"/>
          <w:rtl/>
        </w:rPr>
      </w:pPr>
    </w:p>
    <w:p w:rsidR="00FD51A6" w:rsidRDefault="00FD51A6" w:rsidP="00FD51A6">
      <w:pPr>
        <w:pStyle w:val="Ruller4"/>
        <w:tabs>
          <w:tab w:val="clear" w:pos="360"/>
          <w:tab w:val="num" w:pos="907"/>
        </w:tabs>
        <w:rPr>
          <w:rtl/>
        </w:rPr>
      </w:pPr>
      <w:r>
        <w:rPr>
          <w:rFonts w:hint="cs"/>
          <w:rtl/>
        </w:rPr>
        <w:t xml:space="preserve">בשנת 2008 </w:t>
      </w:r>
      <w:r w:rsidRPr="00900A11">
        <w:rPr>
          <w:rFonts w:hint="cs"/>
          <w:rtl/>
        </w:rPr>
        <w:t>הגיש</w:t>
      </w:r>
      <w:r>
        <w:rPr>
          <w:rFonts w:hint="cs"/>
          <w:rtl/>
        </w:rPr>
        <w:t>ו</w:t>
      </w:r>
      <w:r w:rsidRPr="00900A11">
        <w:rPr>
          <w:rFonts w:hint="cs"/>
          <w:rtl/>
        </w:rPr>
        <w:t xml:space="preserve"> המבקש</w:t>
      </w:r>
      <w:r>
        <w:rPr>
          <w:rFonts w:hint="cs"/>
          <w:rtl/>
        </w:rPr>
        <w:t>ים</w:t>
      </w:r>
      <w:r w:rsidRPr="00900A11">
        <w:rPr>
          <w:rFonts w:hint="cs"/>
          <w:rtl/>
        </w:rPr>
        <w:t xml:space="preserve"> </w:t>
      </w:r>
      <w:r>
        <w:rPr>
          <w:rFonts w:hint="cs"/>
          <w:rtl/>
        </w:rPr>
        <w:t xml:space="preserve">תביעה על-פי חוק פיצויים לנפגעי תאונות דרכים, התשל"ה-1975 </w:t>
      </w:r>
      <w:r w:rsidRPr="00900A11">
        <w:rPr>
          <w:rFonts w:hint="cs"/>
          <w:rtl/>
        </w:rPr>
        <w:t>לבית משפט ה</w:t>
      </w:r>
      <w:r>
        <w:rPr>
          <w:rFonts w:hint="cs"/>
          <w:rtl/>
        </w:rPr>
        <w:t>מחוזי בחיפה,</w:t>
      </w:r>
      <w:r w:rsidRPr="00900A11">
        <w:rPr>
          <w:rFonts w:hint="cs"/>
          <w:rtl/>
        </w:rPr>
        <w:t xml:space="preserve"> ב</w:t>
      </w:r>
      <w:r>
        <w:rPr>
          <w:rFonts w:hint="cs"/>
          <w:rtl/>
        </w:rPr>
        <w:t>עקבות פגיעת בנם של המבקשים 3-2 ב</w:t>
      </w:r>
      <w:r w:rsidRPr="00900A11">
        <w:rPr>
          <w:rFonts w:hint="cs"/>
          <w:rtl/>
        </w:rPr>
        <w:t>תאונת דרכים</w:t>
      </w:r>
      <w:r>
        <w:rPr>
          <w:rFonts w:hint="cs"/>
          <w:rtl/>
        </w:rPr>
        <w:t xml:space="preserve">, בהיותו בן כשנה וחצי (להלן: </w:t>
      </w:r>
      <w:r w:rsidRPr="00FD7D82">
        <w:rPr>
          <w:rFonts w:cs="Miriam" w:hint="eastAsia"/>
          <w:szCs w:val="24"/>
          <w:rtl/>
        </w:rPr>
        <w:t>תביעת</w:t>
      </w:r>
      <w:r w:rsidRPr="00FD7D82">
        <w:rPr>
          <w:rFonts w:cs="Miriam"/>
          <w:szCs w:val="24"/>
          <w:rtl/>
        </w:rPr>
        <w:t xml:space="preserve"> </w:t>
      </w:r>
      <w:r w:rsidRPr="00FD7D82">
        <w:rPr>
          <w:rFonts w:cs="Miriam" w:hint="eastAsia"/>
          <w:szCs w:val="24"/>
          <w:rtl/>
        </w:rPr>
        <w:t>הפיצויים</w:t>
      </w:r>
      <w:r>
        <w:rPr>
          <w:rFonts w:hint="cs"/>
          <w:rtl/>
        </w:rPr>
        <w:t xml:space="preserve"> ו</w:t>
      </w:r>
      <w:r w:rsidRPr="00FD7D82">
        <w:rPr>
          <w:rFonts w:cs="Miriam" w:hint="eastAsia"/>
          <w:szCs w:val="24"/>
          <w:rtl/>
        </w:rPr>
        <w:t>התאונה</w:t>
      </w:r>
      <w:r>
        <w:rPr>
          <w:rFonts w:cs="Miriam" w:hint="cs"/>
          <w:szCs w:val="24"/>
          <w:rtl/>
        </w:rPr>
        <w:t xml:space="preserve"> </w:t>
      </w:r>
      <w:r w:rsidRPr="00FD7D82">
        <w:rPr>
          <w:rFonts w:hint="eastAsia"/>
          <w:sz w:val="28"/>
          <w:rtl/>
        </w:rPr>
        <w:t>בהתאמה</w:t>
      </w:r>
      <w:r>
        <w:rPr>
          <w:rFonts w:hint="cs"/>
          <w:rtl/>
        </w:rPr>
        <w:t>)</w:t>
      </w:r>
      <w:r w:rsidRPr="00900A11">
        <w:rPr>
          <w:rFonts w:hint="cs"/>
          <w:rtl/>
        </w:rPr>
        <w:t>.</w:t>
      </w:r>
      <w:r>
        <w:rPr>
          <w:rFonts w:hint="cs"/>
          <w:rtl/>
        </w:rPr>
        <w:t xml:space="preserve"> </w:t>
      </w:r>
      <w:r>
        <w:rPr>
          <w:rFonts w:hint="cs"/>
          <w:rtl/>
        </w:rPr>
        <w:lastRenderedPageBreak/>
        <w:t xml:space="preserve">אקדים את המאוחר ואציין כי לדאבון הלב, ביום 13.5.21 נפטר הבן, לפני הגיעו לגיל 18 ולהלן הוא יכונה </w:t>
      </w:r>
      <w:r w:rsidRPr="00C555D4">
        <w:rPr>
          <w:rFonts w:ascii="Century" w:hAnsi="Century" w:cs="Miriam" w:hint="eastAsia"/>
          <w:b/>
          <w:spacing w:val="0"/>
          <w:sz w:val="22"/>
          <w:szCs w:val="24"/>
          <w:rtl/>
        </w:rPr>
        <w:t>המנוח</w:t>
      </w:r>
      <w:r>
        <w:rPr>
          <w:rFonts w:hint="cs"/>
          <w:rtl/>
        </w:rPr>
        <w:t>.</w:t>
      </w:r>
    </w:p>
    <w:p w:rsidR="00FD51A6" w:rsidRPr="00416FF3" w:rsidRDefault="00FD51A6" w:rsidP="00FD51A6">
      <w:pPr>
        <w:pStyle w:val="Ruller40"/>
        <w:rPr>
          <w:rtl/>
        </w:rPr>
      </w:pPr>
    </w:p>
    <w:p w:rsidR="00FD51A6" w:rsidRDefault="00FD51A6" w:rsidP="00FD51A6">
      <w:pPr>
        <w:pStyle w:val="Ruller4"/>
        <w:tabs>
          <w:tab w:val="clear" w:pos="360"/>
          <w:tab w:val="num" w:pos="907"/>
        </w:tabs>
      </w:pPr>
      <w:r w:rsidRPr="00900A11">
        <w:rPr>
          <w:rFonts w:hint="cs"/>
          <w:rtl/>
        </w:rPr>
        <w:t>במועד התאונה היה הרכב הפוגע מבוטח על-ידי המשיבה</w:t>
      </w:r>
      <w:r>
        <w:rPr>
          <w:rFonts w:hint="cs"/>
          <w:rtl/>
        </w:rPr>
        <w:t xml:space="preserve"> 2</w:t>
      </w:r>
      <w:r w:rsidRPr="00900A11">
        <w:rPr>
          <w:rFonts w:hint="cs"/>
          <w:rtl/>
        </w:rPr>
        <w:t>.</w:t>
      </w:r>
      <w:r>
        <w:rPr>
          <w:rFonts w:hint="cs"/>
          <w:rtl/>
        </w:rPr>
        <w:t xml:space="preserve"> </w:t>
      </w:r>
    </w:p>
    <w:p w:rsidR="00FD51A6" w:rsidRPr="00FF64AA" w:rsidRDefault="00FD51A6" w:rsidP="00FD51A6">
      <w:pPr>
        <w:tabs>
          <w:tab w:val="left" w:pos="800"/>
        </w:tabs>
        <w:jc w:val="both"/>
        <w:rPr>
          <w:rFonts w:ascii="Garamond" w:hAnsi="Garamond"/>
          <w:sz w:val="24"/>
          <w:rtl/>
        </w:rPr>
      </w:pPr>
    </w:p>
    <w:p w:rsidR="00FD51A6" w:rsidRDefault="00FD51A6" w:rsidP="00FD51A6">
      <w:pPr>
        <w:pStyle w:val="Ruller4"/>
        <w:tabs>
          <w:tab w:val="clear" w:pos="360"/>
          <w:tab w:val="num" w:pos="907"/>
        </w:tabs>
        <w:overflowPunct/>
        <w:autoSpaceDE/>
        <w:autoSpaceDN/>
        <w:adjustRightInd/>
        <w:textAlignment w:val="auto"/>
        <w:rPr>
          <w:rFonts w:ascii="Century" w:hAnsi="Century"/>
          <w:sz w:val="22"/>
          <w:rtl/>
        </w:rPr>
      </w:pPr>
      <w:r w:rsidRPr="00204BEF">
        <w:rPr>
          <w:rFonts w:hint="cs"/>
          <w:rtl/>
        </w:rPr>
        <w:t>בפסק הדין, אשר ניתן כאמור</w:t>
      </w:r>
      <w:r>
        <w:rPr>
          <w:rFonts w:hint="cs"/>
          <w:rtl/>
        </w:rPr>
        <w:t xml:space="preserve"> בשנת</w:t>
      </w:r>
      <w:r w:rsidRPr="00204BEF">
        <w:rPr>
          <w:rFonts w:hint="cs"/>
          <w:rtl/>
        </w:rPr>
        <w:t xml:space="preserve"> 2014, </w:t>
      </w:r>
      <w:r>
        <w:rPr>
          <w:rFonts w:hint="cs"/>
          <w:rtl/>
        </w:rPr>
        <w:t>הוערך</w:t>
      </w:r>
      <w:r w:rsidRPr="00204BEF">
        <w:rPr>
          <w:rFonts w:hint="cs"/>
          <w:rtl/>
        </w:rPr>
        <w:t xml:space="preserve"> </w:t>
      </w:r>
      <w:r>
        <w:rPr>
          <w:rFonts w:hint="cs"/>
          <w:rtl/>
        </w:rPr>
        <w:t xml:space="preserve">נזקו של המנוח </w:t>
      </w:r>
      <w:r w:rsidRPr="00204BEF">
        <w:rPr>
          <w:rFonts w:hint="cs"/>
          <w:rtl/>
        </w:rPr>
        <w:t xml:space="preserve">בסכום של 9,380,039 </w:t>
      </w:r>
      <w:r>
        <w:rPr>
          <w:rFonts w:hint="cs"/>
          <w:rtl/>
        </w:rPr>
        <w:t>ש"ח</w:t>
      </w:r>
      <w:r w:rsidRPr="00204BEF">
        <w:rPr>
          <w:rFonts w:hint="cs"/>
          <w:rtl/>
        </w:rPr>
        <w:t xml:space="preserve">. מסכום זה, נוכו תגמולי המוסד לביטוח לאומי (להלן: </w:t>
      </w:r>
      <w:proofErr w:type="spellStart"/>
      <w:r w:rsidRPr="00416FF3">
        <w:rPr>
          <w:rFonts w:ascii="Century" w:hAnsi="Century" w:cs="Miriam" w:hint="eastAsia"/>
          <w:b/>
          <w:spacing w:val="0"/>
          <w:sz w:val="22"/>
          <w:szCs w:val="24"/>
          <w:rtl/>
        </w:rPr>
        <w:t>המל</w:t>
      </w:r>
      <w:r w:rsidRPr="00416FF3">
        <w:rPr>
          <w:rFonts w:ascii="Century" w:hAnsi="Century" w:cs="Miriam"/>
          <w:b/>
          <w:spacing w:val="0"/>
          <w:sz w:val="22"/>
          <w:szCs w:val="24"/>
          <w:rtl/>
        </w:rPr>
        <w:t>"</w:t>
      </w:r>
      <w:r w:rsidRPr="00416FF3">
        <w:rPr>
          <w:rFonts w:ascii="Century" w:hAnsi="Century" w:cs="Miriam" w:hint="eastAsia"/>
          <w:b/>
          <w:spacing w:val="0"/>
          <w:sz w:val="22"/>
          <w:szCs w:val="24"/>
          <w:rtl/>
        </w:rPr>
        <w:t>ל</w:t>
      </w:r>
      <w:proofErr w:type="spellEnd"/>
      <w:r w:rsidRPr="00204BEF">
        <w:rPr>
          <w:rFonts w:hint="cs"/>
          <w:rtl/>
        </w:rPr>
        <w:t>), בשיעור של 2,140,402</w:t>
      </w:r>
      <w:r>
        <w:rPr>
          <w:rFonts w:hint="cs"/>
          <w:rtl/>
        </w:rPr>
        <w:t xml:space="preserve"> ש"ח</w:t>
      </w:r>
      <w:r w:rsidRPr="00204BEF">
        <w:rPr>
          <w:rFonts w:hint="cs"/>
          <w:rtl/>
        </w:rPr>
        <w:t xml:space="preserve">. </w:t>
      </w:r>
      <w:r>
        <w:rPr>
          <w:rFonts w:hint="cs"/>
          <w:rtl/>
        </w:rPr>
        <w:t xml:space="preserve">מיתרת הפיצויים הורה בית המשפט המחוזי על הקפאת סכום נוסף של מיליון ש"ח בחשבון נאמנות, בשל אי-ודאות לגבי גובה תגמולי </w:t>
      </w:r>
      <w:proofErr w:type="spellStart"/>
      <w:r>
        <w:rPr>
          <w:rFonts w:hint="cs"/>
          <w:rtl/>
        </w:rPr>
        <w:t>המל"ל</w:t>
      </w:r>
      <w:proofErr w:type="spellEnd"/>
      <w:r>
        <w:rPr>
          <w:rFonts w:hint="cs"/>
          <w:rtl/>
        </w:rPr>
        <w:t xml:space="preserve"> שעתידים היו להשתלם למנוח לאחר הגיעו לגיל 18 ושלושה חודשים. </w:t>
      </w:r>
      <w:r w:rsidRPr="00E43DF5">
        <w:rPr>
          <w:rFonts w:ascii="Century" w:hAnsi="Century" w:hint="cs"/>
          <w:sz w:val="22"/>
          <w:rtl/>
        </w:rPr>
        <w:t xml:space="preserve">בהמשך לכך נקבע, כי "ככל שלאחר קביעת </w:t>
      </w:r>
      <w:proofErr w:type="spellStart"/>
      <w:r w:rsidRPr="00E43DF5">
        <w:rPr>
          <w:rFonts w:ascii="Century" w:hAnsi="Century" w:hint="cs"/>
          <w:sz w:val="22"/>
          <w:rtl/>
        </w:rPr>
        <w:t>המל"ל</w:t>
      </w:r>
      <w:proofErr w:type="spellEnd"/>
      <w:r w:rsidRPr="00E43DF5">
        <w:rPr>
          <w:rFonts w:ascii="Century" w:hAnsi="Century" w:hint="cs"/>
          <w:sz w:val="22"/>
          <w:rtl/>
        </w:rPr>
        <w:t xml:space="preserve"> [ביחס לגובה הגמלאות לאחר גיל 18 </w:t>
      </w:r>
      <w:r w:rsidRPr="00E43DF5">
        <w:rPr>
          <w:rFonts w:ascii="Century" w:hAnsi="Century"/>
          <w:sz w:val="22"/>
          <w:rtl/>
        </w:rPr>
        <w:t>–</w:t>
      </w:r>
      <w:r w:rsidRPr="00E43DF5">
        <w:rPr>
          <w:rFonts w:ascii="Century" w:hAnsi="Century" w:hint="cs"/>
          <w:sz w:val="22"/>
          <w:rtl/>
        </w:rPr>
        <w:t xml:space="preserve"> </w:t>
      </w:r>
      <w:proofErr w:type="spellStart"/>
      <w:r w:rsidRPr="00E43DF5">
        <w:rPr>
          <w:rFonts w:ascii="Century" w:hAnsi="Century" w:hint="cs"/>
          <w:sz w:val="22"/>
          <w:rtl/>
        </w:rPr>
        <w:t>י"ו</w:t>
      </w:r>
      <w:proofErr w:type="spellEnd"/>
      <w:r>
        <w:rPr>
          <w:rFonts w:ascii="Century" w:hAnsi="Century" w:hint="cs"/>
          <w:sz w:val="22"/>
          <w:rtl/>
        </w:rPr>
        <w:t xml:space="preserve">] </w:t>
      </w:r>
      <w:r w:rsidRPr="00204BEF">
        <w:rPr>
          <w:rFonts w:ascii="Century" w:hAnsi="Century" w:hint="cs"/>
          <w:sz w:val="22"/>
          <w:rtl/>
        </w:rPr>
        <w:t xml:space="preserve">תיוותר יתרה לאחר ניכוי התגמולים, הסכום הנותר יועבר לתובע". </w:t>
      </w:r>
    </w:p>
    <w:p w:rsidR="00FD51A6" w:rsidRPr="00204BEF" w:rsidRDefault="00FD51A6" w:rsidP="00FD51A6">
      <w:pPr>
        <w:pStyle w:val="Ruller40"/>
      </w:pPr>
    </w:p>
    <w:p w:rsidR="00FD51A6" w:rsidRDefault="00FD51A6" w:rsidP="00FD51A6">
      <w:pPr>
        <w:pStyle w:val="Ruller4"/>
        <w:numPr>
          <w:ilvl w:val="0"/>
          <w:numId w:val="0"/>
        </w:numPr>
        <w:overflowPunct/>
        <w:autoSpaceDE/>
        <w:autoSpaceDN/>
        <w:adjustRightInd/>
        <w:textAlignment w:val="auto"/>
        <w:rPr>
          <w:rFonts w:ascii="Century" w:hAnsi="Century"/>
          <w:sz w:val="22"/>
          <w:rtl/>
        </w:rPr>
      </w:pPr>
      <w:r>
        <w:rPr>
          <w:rFonts w:ascii="Century" w:hAnsi="Century"/>
          <w:sz w:val="22"/>
          <w:rtl/>
        </w:rPr>
        <w:tab/>
      </w:r>
      <w:r w:rsidRPr="00204BEF">
        <w:rPr>
          <w:rFonts w:ascii="Century" w:hAnsi="Century" w:hint="cs"/>
          <w:sz w:val="22"/>
          <w:rtl/>
        </w:rPr>
        <w:t>במישור המעשי, נקבע</w:t>
      </w:r>
      <w:r>
        <w:rPr>
          <w:rFonts w:ascii="Century" w:hAnsi="Century" w:hint="cs"/>
          <w:sz w:val="22"/>
          <w:rtl/>
        </w:rPr>
        <w:t>ו ההוראות הבאות:</w:t>
      </w:r>
    </w:p>
    <w:p w:rsidR="00FD51A6" w:rsidRDefault="00FD51A6" w:rsidP="00FD51A6">
      <w:pPr>
        <w:pStyle w:val="Ruller4"/>
        <w:numPr>
          <w:ilvl w:val="0"/>
          <w:numId w:val="0"/>
        </w:numPr>
        <w:overflowPunct/>
        <w:autoSpaceDE/>
        <w:autoSpaceDN/>
        <w:adjustRightInd/>
        <w:textAlignment w:val="auto"/>
        <w:rPr>
          <w:rFonts w:ascii="Century" w:hAnsi="Century"/>
          <w:sz w:val="22"/>
          <w:rtl/>
        </w:rPr>
      </w:pPr>
    </w:p>
    <w:p w:rsidR="00FD51A6" w:rsidRPr="00737971" w:rsidRDefault="00FD51A6" w:rsidP="00FD51A6">
      <w:pPr>
        <w:pStyle w:val="Ruller5"/>
        <w:rPr>
          <w:rtl/>
        </w:rPr>
      </w:pPr>
      <w:r w:rsidRPr="00737971">
        <w:rPr>
          <w:rFonts w:hint="cs"/>
          <w:rtl/>
        </w:rPr>
        <w:t xml:space="preserve">לא יאוחר מתום 60 ימים מיום הגיע התובע לגיל 18 שנים, יפנה בא כוחו </w:t>
      </w:r>
      <w:proofErr w:type="spellStart"/>
      <w:r w:rsidRPr="00737971">
        <w:rPr>
          <w:rFonts w:hint="cs"/>
          <w:rtl/>
        </w:rPr>
        <w:t>למל"ל</w:t>
      </w:r>
      <w:proofErr w:type="spellEnd"/>
      <w:r w:rsidRPr="00737971">
        <w:rPr>
          <w:rFonts w:hint="cs"/>
          <w:rtl/>
        </w:rPr>
        <w:t xml:space="preserve"> במכתב רשום למיצוי הזכויות שהגיעו ושיגיעו לתובע ממנו.</w:t>
      </w:r>
      <w:r>
        <w:rPr>
          <w:rFonts w:hint="cs"/>
          <w:rtl/>
        </w:rPr>
        <w:t xml:space="preserve"> </w:t>
      </w:r>
      <w:r w:rsidRPr="00737971">
        <w:rPr>
          <w:rFonts w:hint="cs"/>
          <w:rtl/>
        </w:rPr>
        <w:t>עליו</w:t>
      </w:r>
      <w:r>
        <w:rPr>
          <w:rFonts w:hint="cs"/>
          <w:rtl/>
        </w:rPr>
        <w:t xml:space="preserve"> </w:t>
      </w:r>
      <w:r w:rsidRPr="00737971">
        <w:rPr>
          <w:rFonts w:hint="cs"/>
          <w:rtl/>
        </w:rPr>
        <w:t>להמציא</w:t>
      </w:r>
      <w:r>
        <w:rPr>
          <w:rFonts w:hint="cs"/>
          <w:rtl/>
        </w:rPr>
        <w:t xml:space="preserve"> </w:t>
      </w:r>
      <w:r w:rsidRPr="00737971">
        <w:rPr>
          <w:rFonts w:hint="cs"/>
          <w:rtl/>
        </w:rPr>
        <w:t>את</w:t>
      </w:r>
      <w:r>
        <w:rPr>
          <w:rFonts w:hint="cs"/>
          <w:rtl/>
        </w:rPr>
        <w:t xml:space="preserve"> </w:t>
      </w:r>
      <w:r w:rsidRPr="00737971">
        <w:rPr>
          <w:rFonts w:hint="cs"/>
          <w:rtl/>
        </w:rPr>
        <w:t>העתק</w:t>
      </w:r>
      <w:r>
        <w:rPr>
          <w:rFonts w:hint="cs"/>
          <w:rtl/>
        </w:rPr>
        <w:t xml:space="preserve"> </w:t>
      </w:r>
      <w:r w:rsidRPr="00737971">
        <w:rPr>
          <w:rFonts w:hint="cs"/>
          <w:rtl/>
        </w:rPr>
        <w:t>פנייתו</w:t>
      </w:r>
      <w:r>
        <w:rPr>
          <w:rFonts w:hint="cs"/>
          <w:rtl/>
        </w:rPr>
        <w:t xml:space="preserve">, </w:t>
      </w:r>
      <w:r w:rsidRPr="00737971">
        <w:rPr>
          <w:rFonts w:hint="cs"/>
          <w:rtl/>
        </w:rPr>
        <w:t>על נספחיה לבא-</w:t>
      </w:r>
      <w:proofErr w:type="spellStart"/>
      <w:r w:rsidRPr="00737971">
        <w:rPr>
          <w:rFonts w:hint="cs"/>
          <w:rtl/>
        </w:rPr>
        <w:t>כח</w:t>
      </w:r>
      <w:proofErr w:type="spellEnd"/>
      <w:r w:rsidRPr="00737971">
        <w:rPr>
          <w:rFonts w:hint="cs"/>
        </w:rPr>
        <w:t> </w:t>
      </w:r>
      <w:r w:rsidRPr="00737971">
        <w:rPr>
          <w:rFonts w:hint="cs"/>
          <w:rtl/>
        </w:rPr>
        <w:t xml:space="preserve">הנתבעים וכן עליו להעביר לו העתק מכל תשובה ומסמך שיקבל בעניין זה מהמוסד לביטוח לאומי. אם לאחר החישוב של סכום </w:t>
      </w:r>
      <w:proofErr w:type="spellStart"/>
      <w:r w:rsidRPr="00737971">
        <w:rPr>
          <w:rFonts w:hint="cs"/>
          <w:rtl/>
        </w:rPr>
        <w:t>הגימלאות</w:t>
      </w:r>
      <w:proofErr w:type="spellEnd"/>
      <w:r w:rsidRPr="00737971">
        <w:rPr>
          <w:rFonts w:hint="cs"/>
          <w:rtl/>
        </w:rPr>
        <w:t xml:space="preserve"> שהוכר, תוותר יתרה, היא תועבר לתובע.</w:t>
      </w:r>
    </w:p>
    <w:p w:rsidR="00FD51A6" w:rsidRPr="00737971" w:rsidRDefault="00FD51A6" w:rsidP="00FD51A6">
      <w:pPr>
        <w:pStyle w:val="Ruller5"/>
        <w:rPr>
          <w:rtl/>
        </w:rPr>
      </w:pPr>
    </w:p>
    <w:p w:rsidR="00FD51A6" w:rsidRDefault="00FD51A6" w:rsidP="00FD51A6">
      <w:pPr>
        <w:pStyle w:val="Ruller5"/>
        <w:rPr>
          <w:rtl/>
        </w:rPr>
      </w:pPr>
      <w:r w:rsidRPr="00737971">
        <w:rPr>
          <w:rFonts w:hint="cs"/>
          <w:rtl/>
        </w:rPr>
        <w:t xml:space="preserve">אם לא יפנה התובע </w:t>
      </w:r>
      <w:proofErr w:type="spellStart"/>
      <w:r w:rsidRPr="00737971">
        <w:rPr>
          <w:rFonts w:hint="cs"/>
          <w:rtl/>
        </w:rPr>
        <w:t>למל"ל</w:t>
      </w:r>
      <w:proofErr w:type="spellEnd"/>
      <w:r w:rsidRPr="00737971">
        <w:rPr>
          <w:rFonts w:hint="cs"/>
          <w:rtl/>
        </w:rPr>
        <w:t xml:space="preserve"> כמפורט לעיל, ו</w:t>
      </w:r>
      <w:r>
        <w:rPr>
          <w:rFonts w:hint="cs"/>
          <w:rtl/>
        </w:rPr>
        <w:t>/</w:t>
      </w:r>
      <w:r w:rsidRPr="00737971">
        <w:rPr>
          <w:rFonts w:hint="cs"/>
          <w:rtl/>
        </w:rPr>
        <w:t>או תוך זמן סביר מאז שמלאו לו 18 שנים ו</w:t>
      </w:r>
      <w:r>
        <w:rPr>
          <w:rFonts w:hint="cs"/>
          <w:rtl/>
        </w:rPr>
        <w:t>/</w:t>
      </w:r>
      <w:r w:rsidRPr="00737971">
        <w:rPr>
          <w:rFonts w:hint="cs"/>
          <w:rtl/>
        </w:rPr>
        <w:t>או על פי דרישת הנתבעים, הוא ייראה</w:t>
      </w:r>
      <w:r>
        <w:rPr>
          <w:rFonts w:hint="cs"/>
          <w:rtl/>
        </w:rPr>
        <w:t xml:space="preserve"> </w:t>
      </w:r>
      <w:r w:rsidRPr="00737971">
        <w:rPr>
          <w:rFonts w:hint="cs"/>
          <w:rtl/>
        </w:rPr>
        <w:t>כמסכים</w:t>
      </w:r>
      <w:r>
        <w:rPr>
          <w:rFonts w:hint="cs"/>
          <w:rtl/>
        </w:rPr>
        <w:t xml:space="preserve"> </w:t>
      </w:r>
      <w:r w:rsidRPr="00737971">
        <w:rPr>
          <w:rFonts w:hint="cs"/>
          <w:rtl/>
        </w:rPr>
        <w:t>לכך</w:t>
      </w:r>
      <w:r>
        <w:rPr>
          <w:rFonts w:hint="cs"/>
          <w:rtl/>
        </w:rPr>
        <w:t xml:space="preserve"> </w:t>
      </w:r>
      <w:r w:rsidRPr="00737971">
        <w:rPr>
          <w:rFonts w:hint="cs"/>
          <w:rtl/>
        </w:rPr>
        <w:t>שהסכום</w:t>
      </w:r>
      <w:r>
        <w:rPr>
          <w:rFonts w:hint="cs"/>
          <w:rtl/>
        </w:rPr>
        <w:t xml:space="preserve"> </w:t>
      </w:r>
      <w:r w:rsidRPr="00737971">
        <w:rPr>
          <w:rFonts w:hint="cs"/>
          <w:rtl/>
        </w:rPr>
        <w:t>המופקד</w:t>
      </w:r>
      <w:r>
        <w:rPr>
          <w:rFonts w:hint="cs"/>
          <w:rtl/>
        </w:rPr>
        <w:t xml:space="preserve"> </w:t>
      </w:r>
      <w:r w:rsidRPr="00737971">
        <w:rPr>
          <w:rFonts w:hint="cs"/>
          <w:rtl/>
        </w:rPr>
        <w:t>בידי</w:t>
      </w:r>
      <w:r>
        <w:rPr>
          <w:rFonts w:hint="cs"/>
          <w:rtl/>
        </w:rPr>
        <w:t xml:space="preserve"> </w:t>
      </w:r>
      <w:r w:rsidRPr="00737971">
        <w:rPr>
          <w:rFonts w:hint="cs"/>
          <w:rtl/>
        </w:rPr>
        <w:t>הנתבעת</w:t>
      </w:r>
      <w:r>
        <w:rPr>
          <w:rFonts w:hint="cs"/>
          <w:rtl/>
        </w:rPr>
        <w:t xml:space="preserve"> </w:t>
      </w:r>
      <w:proofErr w:type="spellStart"/>
      <w:r w:rsidRPr="00737971">
        <w:rPr>
          <w:rFonts w:hint="cs"/>
          <w:rtl/>
        </w:rPr>
        <w:t>השניה</w:t>
      </w:r>
      <w:proofErr w:type="spellEnd"/>
      <w:r>
        <w:rPr>
          <w:rFonts w:hint="cs"/>
          <w:rtl/>
        </w:rPr>
        <w:t xml:space="preserve"> </w:t>
      </w:r>
      <w:r w:rsidRPr="00737971">
        <w:rPr>
          <w:rFonts w:hint="cs"/>
          <w:rtl/>
        </w:rPr>
        <w:t>יישאר</w:t>
      </w:r>
      <w:r>
        <w:rPr>
          <w:rFonts w:hint="cs"/>
          <w:rtl/>
        </w:rPr>
        <w:t xml:space="preserve"> </w:t>
      </w:r>
      <w:r w:rsidRPr="00737971">
        <w:rPr>
          <w:rFonts w:hint="cs"/>
          <w:rtl/>
        </w:rPr>
        <w:t>ברשותה.</w:t>
      </w:r>
    </w:p>
    <w:p w:rsidR="00FD51A6" w:rsidRPr="00737971" w:rsidRDefault="00FD51A6" w:rsidP="00FD51A6">
      <w:pPr>
        <w:pStyle w:val="Ruller5"/>
        <w:rPr>
          <w:rtl/>
        </w:rPr>
      </w:pPr>
    </w:p>
    <w:p w:rsidR="00FD51A6" w:rsidRDefault="00FD51A6" w:rsidP="00FD51A6">
      <w:pPr>
        <w:pStyle w:val="Ruller5"/>
        <w:rPr>
          <w:rtl/>
        </w:rPr>
      </w:pPr>
      <w:r w:rsidRPr="00737971">
        <w:rPr>
          <w:rFonts w:hint="cs"/>
          <w:rtl/>
        </w:rPr>
        <w:t>ככל</w:t>
      </w:r>
      <w:r w:rsidRPr="00737971">
        <w:rPr>
          <w:rFonts w:hint="cs"/>
        </w:rPr>
        <w:t> </w:t>
      </w:r>
      <w:r w:rsidRPr="00737971">
        <w:rPr>
          <w:rFonts w:hint="cs"/>
          <w:rtl/>
        </w:rPr>
        <w:t>שתהא</w:t>
      </w:r>
      <w:r w:rsidRPr="00737971">
        <w:rPr>
          <w:rFonts w:hint="cs"/>
        </w:rPr>
        <w:t> </w:t>
      </w:r>
      <w:proofErr w:type="spellStart"/>
      <w:r w:rsidRPr="00737971">
        <w:rPr>
          <w:rFonts w:hint="cs"/>
          <w:rtl/>
        </w:rPr>
        <w:t>בענין</w:t>
      </w:r>
      <w:proofErr w:type="spellEnd"/>
      <w:r w:rsidRPr="00737971">
        <w:rPr>
          <w:rFonts w:hint="cs"/>
        </w:rPr>
        <w:t> </w:t>
      </w:r>
      <w:r w:rsidRPr="00737971">
        <w:rPr>
          <w:rFonts w:hint="cs"/>
          <w:rtl/>
        </w:rPr>
        <w:t>זה</w:t>
      </w:r>
      <w:r w:rsidRPr="00737971">
        <w:rPr>
          <w:rFonts w:hint="cs"/>
        </w:rPr>
        <w:t> </w:t>
      </w:r>
      <w:r w:rsidRPr="00737971">
        <w:rPr>
          <w:rFonts w:hint="cs"/>
          <w:rtl/>
        </w:rPr>
        <w:t>מחלוקת</w:t>
      </w:r>
      <w:r w:rsidRPr="00737971">
        <w:rPr>
          <w:rFonts w:hint="cs"/>
        </w:rPr>
        <w:t> </w:t>
      </w:r>
      <w:r w:rsidRPr="00737971">
        <w:rPr>
          <w:rFonts w:hint="cs"/>
          <w:rtl/>
        </w:rPr>
        <w:t>בין</w:t>
      </w:r>
      <w:r w:rsidRPr="00737971">
        <w:rPr>
          <w:rFonts w:hint="cs"/>
        </w:rPr>
        <w:t> </w:t>
      </w:r>
      <w:r>
        <w:rPr>
          <w:rFonts w:hint="cs"/>
          <w:rtl/>
        </w:rPr>
        <w:t xml:space="preserve">הצדדים, </w:t>
      </w:r>
      <w:r w:rsidRPr="00737971">
        <w:rPr>
          <w:rFonts w:hint="cs"/>
          <w:rtl/>
        </w:rPr>
        <w:t>יהא</w:t>
      </w:r>
      <w:r>
        <w:rPr>
          <w:rFonts w:hint="cs"/>
          <w:rtl/>
        </w:rPr>
        <w:t xml:space="preserve"> </w:t>
      </w:r>
      <w:r w:rsidRPr="00737971">
        <w:rPr>
          <w:rFonts w:hint="cs"/>
          <w:rtl/>
        </w:rPr>
        <w:t>כל</w:t>
      </w:r>
      <w:r>
        <w:rPr>
          <w:rFonts w:hint="cs"/>
          <w:rtl/>
        </w:rPr>
        <w:t xml:space="preserve"> </w:t>
      </w:r>
      <w:r w:rsidRPr="00737971">
        <w:rPr>
          <w:rFonts w:hint="cs"/>
          <w:rtl/>
        </w:rPr>
        <w:t>אחד</w:t>
      </w:r>
      <w:r>
        <w:rPr>
          <w:rFonts w:hint="cs"/>
          <w:rtl/>
        </w:rPr>
        <w:t xml:space="preserve"> </w:t>
      </w:r>
      <w:r w:rsidRPr="00737971">
        <w:rPr>
          <w:rFonts w:hint="cs"/>
          <w:rtl/>
        </w:rPr>
        <w:t>מהם</w:t>
      </w:r>
      <w:r>
        <w:rPr>
          <w:rFonts w:hint="cs"/>
          <w:rtl/>
        </w:rPr>
        <w:t xml:space="preserve"> </w:t>
      </w:r>
      <w:r w:rsidRPr="00737971">
        <w:rPr>
          <w:rFonts w:hint="cs"/>
          <w:rtl/>
        </w:rPr>
        <w:t>רשאי</w:t>
      </w:r>
      <w:r>
        <w:rPr>
          <w:rFonts w:hint="cs"/>
          <w:rtl/>
        </w:rPr>
        <w:t xml:space="preserve"> </w:t>
      </w:r>
      <w:r w:rsidRPr="00737971">
        <w:rPr>
          <w:rFonts w:hint="cs"/>
          <w:rtl/>
        </w:rPr>
        <w:t>להגיש</w:t>
      </w:r>
      <w:r>
        <w:rPr>
          <w:rFonts w:hint="cs"/>
          <w:rtl/>
        </w:rPr>
        <w:t xml:space="preserve"> </w:t>
      </w:r>
      <w:r w:rsidRPr="00737971">
        <w:rPr>
          <w:rFonts w:hint="cs"/>
          <w:rtl/>
        </w:rPr>
        <w:t>בקשה</w:t>
      </w:r>
      <w:r>
        <w:t xml:space="preserve"> </w:t>
      </w:r>
      <w:r w:rsidRPr="00737971">
        <w:rPr>
          <w:rFonts w:hint="cs"/>
          <w:rtl/>
        </w:rPr>
        <w:t>מתאימה</w:t>
      </w:r>
      <w:r>
        <w:rPr>
          <w:rFonts w:hint="cs"/>
          <w:rtl/>
        </w:rPr>
        <w:t xml:space="preserve"> </w:t>
      </w:r>
      <w:r w:rsidRPr="00737971">
        <w:rPr>
          <w:rFonts w:hint="cs"/>
          <w:rtl/>
        </w:rPr>
        <w:t>למתן</w:t>
      </w:r>
      <w:r>
        <w:rPr>
          <w:rFonts w:hint="cs"/>
          <w:rtl/>
        </w:rPr>
        <w:t xml:space="preserve"> </w:t>
      </w:r>
      <w:r w:rsidRPr="00737971">
        <w:rPr>
          <w:rFonts w:hint="cs"/>
          <w:rtl/>
        </w:rPr>
        <w:t>הוראות</w:t>
      </w:r>
      <w:r>
        <w:rPr>
          <w:rFonts w:hint="cs"/>
          <w:rtl/>
        </w:rPr>
        <w:t xml:space="preserve"> </w:t>
      </w:r>
      <w:r w:rsidRPr="00737971">
        <w:rPr>
          <w:rFonts w:hint="cs"/>
          <w:rtl/>
        </w:rPr>
        <w:t>לבית</w:t>
      </w:r>
      <w:r>
        <w:rPr>
          <w:rFonts w:hint="cs"/>
          <w:rtl/>
        </w:rPr>
        <w:t xml:space="preserve"> המשפט.</w:t>
      </w:r>
    </w:p>
    <w:p w:rsidR="00FD51A6" w:rsidRDefault="00FD51A6" w:rsidP="00FD51A6">
      <w:pPr>
        <w:overflowPunct/>
        <w:autoSpaceDE/>
        <w:autoSpaceDN/>
        <w:adjustRightInd/>
        <w:jc w:val="both"/>
        <w:textAlignment w:val="auto"/>
        <w:rPr>
          <w:sz w:val="22"/>
          <w:rtl/>
        </w:rPr>
      </w:pPr>
    </w:p>
    <w:p w:rsidR="00FD51A6" w:rsidRDefault="00FD51A6" w:rsidP="00FD51A6">
      <w:pPr>
        <w:pStyle w:val="Ruller4"/>
        <w:numPr>
          <w:ilvl w:val="0"/>
          <w:numId w:val="0"/>
        </w:numPr>
        <w:rPr>
          <w:sz w:val="22"/>
          <w:rtl/>
        </w:rPr>
      </w:pPr>
      <w:r w:rsidRPr="00737971">
        <w:rPr>
          <w:rFonts w:hint="cs"/>
          <w:rtl/>
        </w:rPr>
        <w:t> </w:t>
      </w:r>
      <w:r w:rsidRPr="00742606">
        <w:rPr>
          <w:rFonts w:hint="cs"/>
          <w:sz w:val="22"/>
          <w:rtl/>
        </w:rPr>
        <w:t>לשלמות התמונה יצוין, כי ערעורים שהגישו הצדדים על פסק הדין - נדחו בהסכמה</w:t>
      </w:r>
      <w:r>
        <w:rPr>
          <w:rFonts w:hint="cs"/>
          <w:sz w:val="22"/>
          <w:rtl/>
        </w:rPr>
        <w:t xml:space="preserve"> בפסק-דינו של בית משפט זה מיום 8.2.2016</w:t>
      </w:r>
      <w:r w:rsidRPr="00742606">
        <w:rPr>
          <w:rFonts w:hint="cs"/>
          <w:sz w:val="22"/>
          <w:rtl/>
        </w:rPr>
        <w:t xml:space="preserve"> </w:t>
      </w:r>
      <w:r>
        <w:rPr>
          <w:rFonts w:hint="cs"/>
          <w:sz w:val="22"/>
          <w:rtl/>
        </w:rPr>
        <w:t>(ע"א 7008/14).</w:t>
      </w:r>
    </w:p>
    <w:p w:rsidR="00FD51A6" w:rsidRDefault="00FD51A6" w:rsidP="00FD51A6">
      <w:pPr>
        <w:tabs>
          <w:tab w:val="left" w:pos="800"/>
        </w:tabs>
        <w:jc w:val="both"/>
        <w:rPr>
          <w:sz w:val="22"/>
          <w:rtl/>
        </w:rPr>
      </w:pPr>
    </w:p>
    <w:p w:rsidR="00FD51A6" w:rsidRDefault="00FD51A6" w:rsidP="00FD51A6">
      <w:pPr>
        <w:pStyle w:val="Ruller4"/>
        <w:tabs>
          <w:tab w:val="clear" w:pos="360"/>
          <w:tab w:val="num" w:pos="907"/>
        </w:tabs>
        <w:rPr>
          <w:rtl/>
        </w:rPr>
      </w:pPr>
      <w:r>
        <w:rPr>
          <w:rFonts w:hint="cs"/>
          <w:rtl/>
        </w:rPr>
        <w:t>כאמור, המנוח נפטר לפני הגיעו לגיל 18, ומשכך, הגישו ה</w:t>
      </w:r>
      <w:r w:rsidRPr="00765324">
        <w:rPr>
          <w:rFonts w:hint="cs"/>
          <w:rtl/>
        </w:rPr>
        <w:t>מבקשים</w:t>
      </w:r>
      <w:r>
        <w:rPr>
          <w:rFonts w:hint="cs"/>
          <w:rtl/>
        </w:rPr>
        <w:t xml:space="preserve"> בקשה לבית המשפט המחוזי </w:t>
      </w:r>
      <w:r>
        <w:rPr>
          <w:rFonts w:hint="eastAsia"/>
          <w:rtl/>
        </w:rPr>
        <w:t>–</w:t>
      </w:r>
      <w:r>
        <w:rPr>
          <w:rFonts w:hint="cs"/>
          <w:rtl/>
        </w:rPr>
        <w:t xml:space="preserve"> להורות על שחרור הסכום שהופקד ועל העברתו לידיהם. </w:t>
      </w:r>
    </w:p>
    <w:p w:rsidR="00FD51A6" w:rsidRPr="00DF291D" w:rsidRDefault="00FD51A6" w:rsidP="00FD51A6">
      <w:pPr>
        <w:pStyle w:val="Ruller40"/>
      </w:pPr>
    </w:p>
    <w:p w:rsidR="00FD51A6" w:rsidRDefault="00FD51A6" w:rsidP="00FD51A6">
      <w:pPr>
        <w:pStyle w:val="Ruller4"/>
        <w:tabs>
          <w:tab w:val="clear" w:pos="360"/>
          <w:tab w:val="num" w:pos="907"/>
        </w:tabs>
        <w:rPr>
          <w:rtl/>
        </w:rPr>
      </w:pPr>
      <w:r>
        <w:rPr>
          <w:rFonts w:hint="cs"/>
          <w:rtl/>
        </w:rPr>
        <w:t xml:space="preserve">בית המשפט המחוזי דחה את הבקשה. בהחלטתו עמד בית המשפט המחוזי על עקרון סופיות הדיון, שלפיו שינוי נסיבות לאחר פסק דין חלוט, לא מצדיק פתיחת התיק </w:t>
      </w:r>
      <w:r>
        <w:rPr>
          <w:rFonts w:hint="cs"/>
          <w:rtl/>
        </w:rPr>
        <w:lastRenderedPageBreak/>
        <w:t xml:space="preserve">מחדש. </w:t>
      </w:r>
      <w:r w:rsidRPr="00416FF3">
        <w:rPr>
          <w:rFonts w:hint="eastAsia"/>
          <w:rtl/>
        </w:rPr>
        <w:t>ל</w:t>
      </w:r>
      <w:r>
        <w:rPr>
          <w:rFonts w:hint="cs"/>
          <w:rtl/>
        </w:rPr>
        <w:t xml:space="preserve">צד זאת, נקבע כי בית המשפט המחוזי לא הכריע בפסק הדין ביחס לגורלו של הסכום שהופקד, והותיר לצדדים אפשרות להגיש בקשה מתאימה למתן הוראות, אם תתעורר מחלוקת בעניין זה. </w:t>
      </w:r>
    </w:p>
    <w:p w:rsidR="00FD51A6" w:rsidRDefault="00FD51A6" w:rsidP="00FD51A6">
      <w:pPr>
        <w:pStyle w:val="Ruller40"/>
        <w:rPr>
          <w:rtl/>
        </w:rPr>
      </w:pPr>
    </w:p>
    <w:p w:rsidR="00FD51A6" w:rsidRDefault="00FD51A6" w:rsidP="00FD51A6">
      <w:pPr>
        <w:pStyle w:val="Ruller40"/>
        <w:rPr>
          <w:rtl/>
        </w:rPr>
      </w:pPr>
      <w:r>
        <w:rPr>
          <w:rtl/>
        </w:rPr>
        <w:tab/>
      </w:r>
      <w:r>
        <w:rPr>
          <w:rFonts w:hint="cs"/>
          <w:rtl/>
        </w:rPr>
        <w:t>בהתאם לכך, הורה בית המשפט המחוזי על השבת הסכום שהופקד לידי המשיבה. קביעתו של בית המשפט התבססה על שני נימוקים:</w:t>
      </w:r>
    </w:p>
    <w:p w:rsidR="00FD51A6" w:rsidRDefault="00FD51A6" w:rsidP="00FD51A6">
      <w:pPr>
        <w:pStyle w:val="Ruller40"/>
        <w:rPr>
          <w:rtl/>
        </w:rPr>
      </w:pPr>
    </w:p>
    <w:p w:rsidR="00FD51A6" w:rsidRDefault="00FD51A6" w:rsidP="00FD51A6">
      <w:pPr>
        <w:pStyle w:val="Ruller40"/>
        <w:rPr>
          <w:rtl/>
        </w:rPr>
      </w:pPr>
      <w:r>
        <w:rPr>
          <w:rtl/>
        </w:rPr>
        <w:tab/>
      </w:r>
      <w:r>
        <w:rPr>
          <w:rFonts w:hint="cs"/>
          <w:rtl/>
        </w:rPr>
        <w:t xml:space="preserve">(א) במישור הפורמלי, בית המשפט המחוזי התייחס להוראות שנכללו בפסק הדין, וקבע כי בשל פטירת המנוח, אין אפשרות לפנות </w:t>
      </w:r>
      <w:proofErr w:type="spellStart"/>
      <w:r>
        <w:rPr>
          <w:rFonts w:hint="cs"/>
          <w:rtl/>
        </w:rPr>
        <w:t>למל"ל</w:t>
      </w:r>
      <w:proofErr w:type="spellEnd"/>
      <w:r>
        <w:rPr>
          <w:rFonts w:hint="cs"/>
          <w:rtl/>
        </w:rPr>
        <w:t xml:space="preserve">, וממילא מתקיימת החלופה האמורה בפסק הדין שלפיה </w:t>
      </w:r>
      <w:r w:rsidRPr="00737971">
        <w:rPr>
          <w:rFonts w:hint="cs"/>
          <w:rtl/>
        </w:rPr>
        <w:t xml:space="preserve">אם לא יפנה התובע </w:t>
      </w:r>
      <w:proofErr w:type="spellStart"/>
      <w:r w:rsidRPr="00737971">
        <w:rPr>
          <w:rFonts w:hint="cs"/>
          <w:rtl/>
        </w:rPr>
        <w:t>למל"ל</w:t>
      </w:r>
      <w:proofErr w:type="spellEnd"/>
      <w:r w:rsidRPr="00737971">
        <w:rPr>
          <w:rFonts w:hint="cs"/>
          <w:rtl/>
        </w:rPr>
        <w:t xml:space="preserve"> </w:t>
      </w:r>
      <w:r>
        <w:rPr>
          <w:rFonts w:hint="cs"/>
          <w:rtl/>
        </w:rPr>
        <w:t>לאחר הגיעו לגיל</w:t>
      </w:r>
      <w:r w:rsidRPr="00737971">
        <w:rPr>
          <w:rFonts w:hint="cs"/>
          <w:rtl/>
        </w:rPr>
        <w:t xml:space="preserve"> 18 שנים הוא ייראה</w:t>
      </w:r>
      <w:r>
        <w:rPr>
          <w:rFonts w:hint="cs"/>
          <w:rtl/>
        </w:rPr>
        <w:t xml:space="preserve"> </w:t>
      </w:r>
      <w:r w:rsidRPr="00737971">
        <w:rPr>
          <w:rFonts w:hint="cs"/>
          <w:rtl/>
        </w:rPr>
        <w:t>כמסכים</w:t>
      </w:r>
      <w:r>
        <w:rPr>
          <w:rFonts w:hint="cs"/>
          <w:rtl/>
        </w:rPr>
        <w:t xml:space="preserve"> </w:t>
      </w:r>
      <w:r w:rsidRPr="00737971">
        <w:rPr>
          <w:rFonts w:hint="cs"/>
          <w:rtl/>
        </w:rPr>
        <w:t>לכך</w:t>
      </w:r>
      <w:r>
        <w:rPr>
          <w:rFonts w:hint="cs"/>
          <w:rtl/>
        </w:rPr>
        <w:t xml:space="preserve"> </w:t>
      </w:r>
      <w:r w:rsidRPr="00737971">
        <w:rPr>
          <w:rFonts w:hint="cs"/>
          <w:rtl/>
        </w:rPr>
        <w:t>שהסכום</w:t>
      </w:r>
      <w:r>
        <w:rPr>
          <w:rFonts w:hint="cs"/>
          <w:rtl/>
        </w:rPr>
        <w:t xml:space="preserve"> </w:t>
      </w:r>
      <w:r w:rsidRPr="00737971">
        <w:rPr>
          <w:rFonts w:hint="cs"/>
          <w:rtl/>
        </w:rPr>
        <w:t>המופקד</w:t>
      </w:r>
      <w:r>
        <w:rPr>
          <w:rFonts w:hint="cs"/>
          <w:rtl/>
        </w:rPr>
        <w:t xml:space="preserve"> </w:t>
      </w:r>
      <w:r w:rsidRPr="00737971">
        <w:rPr>
          <w:rFonts w:hint="cs"/>
          <w:rtl/>
        </w:rPr>
        <w:t>יישאר</w:t>
      </w:r>
      <w:r>
        <w:rPr>
          <w:rFonts w:hint="cs"/>
          <w:rtl/>
        </w:rPr>
        <w:t xml:space="preserve"> </w:t>
      </w:r>
      <w:r w:rsidRPr="00737971">
        <w:rPr>
          <w:rFonts w:hint="cs"/>
          <w:rtl/>
        </w:rPr>
        <w:t>ברשות</w:t>
      </w:r>
      <w:r>
        <w:rPr>
          <w:rFonts w:hint="cs"/>
          <w:rtl/>
        </w:rPr>
        <w:t xml:space="preserve"> </w:t>
      </w:r>
      <w:r w:rsidRPr="00737971">
        <w:rPr>
          <w:rFonts w:hint="cs"/>
          <w:rtl/>
        </w:rPr>
        <w:t>ה</w:t>
      </w:r>
      <w:r>
        <w:rPr>
          <w:rFonts w:hint="cs"/>
          <w:rtl/>
        </w:rPr>
        <w:t>משיבה</w:t>
      </w:r>
      <w:r w:rsidRPr="00737971">
        <w:rPr>
          <w:rFonts w:hint="cs"/>
          <w:rtl/>
        </w:rPr>
        <w:t>.</w:t>
      </w:r>
    </w:p>
    <w:p w:rsidR="00FD51A6" w:rsidRDefault="00FD51A6" w:rsidP="00FD51A6">
      <w:pPr>
        <w:pStyle w:val="Ruller40"/>
        <w:rPr>
          <w:rtl/>
        </w:rPr>
      </w:pPr>
    </w:p>
    <w:p w:rsidR="00FD51A6" w:rsidRDefault="00FD51A6" w:rsidP="00FD51A6">
      <w:pPr>
        <w:pStyle w:val="Ruller40"/>
        <w:rPr>
          <w:rtl/>
        </w:rPr>
      </w:pPr>
      <w:r>
        <w:rPr>
          <w:rtl/>
        </w:rPr>
        <w:tab/>
      </w:r>
      <w:r>
        <w:rPr>
          <w:rFonts w:hint="cs"/>
          <w:rtl/>
        </w:rPr>
        <w:t xml:space="preserve">(ב) במישור העקרוני, בית המשפט המחוזי ציין כי בנסיבות המיוחדות שנוצרו, השבת הכספים לידי המשיבה 2 מתיישבת גם עם עקרונות יסוד מתחום דיני </w:t>
      </w:r>
      <w:proofErr w:type="spellStart"/>
      <w:r>
        <w:rPr>
          <w:rFonts w:hint="cs"/>
          <w:rtl/>
        </w:rPr>
        <w:t>הנזיקין</w:t>
      </w:r>
      <w:proofErr w:type="spellEnd"/>
      <w:r>
        <w:rPr>
          <w:rFonts w:hint="cs"/>
          <w:rtl/>
        </w:rPr>
        <w:t xml:space="preserve">, ובהם - כי המזיק אינו צריך לשאת בפיצוי העולה על הנזק שגרם. בהקשר זה, נקבע כי בשים לב לכך שבית המשפט המחוזי לא הכריע בפסק-דינו ביחס לסכום שהופקד, ניתן להתחשב בנסיבות החדשות שאירעו לאחר מתן פסק הדין </w:t>
      </w:r>
      <w:r>
        <w:rPr>
          <w:rtl/>
        </w:rPr>
        <w:t>–</w:t>
      </w:r>
      <w:r>
        <w:rPr>
          <w:rFonts w:hint="cs"/>
          <w:rtl/>
        </w:rPr>
        <w:t xml:space="preserve"> פטירת המנוח שנים רבות לפני מועד תוחלת החיים שהוערכה בפסק הדין. </w:t>
      </w:r>
    </w:p>
    <w:p w:rsidR="00FD51A6" w:rsidRDefault="00FD51A6" w:rsidP="00FD51A6">
      <w:pPr>
        <w:pStyle w:val="Ruller40"/>
        <w:rPr>
          <w:rtl/>
        </w:rPr>
      </w:pPr>
    </w:p>
    <w:p w:rsidR="00FD51A6" w:rsidRDefault="00FD51A6" w:rsidP="00FD51A6">
      <w:pPr>
        <w:pStyle w:val="Ruller40"/>
        <w:rPr>
          <w:rtl/>
        </w:rPr>
      </w:pPr>
      <w:r>
        <w:rPr>
          <w:rtl/>
        </w:rPr>
        <w:tab/>
      </w:r>
      <w:r>
        <w:rPr>
          <w:rFonts w:hint="cs"/>
          <w:rtl/>
        </w:rPr>
        <w:t>על החלטה זו הגישו המבקשים את הבקשה שלפניי.</w:t>
      </w:r>
    </w:p>
    <w:p w:rsidR="00FD51A6" w:rsidRDefault="00FD51A6" w:rsidP="00FD51A6">
      <w:pPr>
        <w:pStyle w:val="Ruller40"/>
        <w:rPr>
          <w:rtl/>
        </w:rPr>
      </w:pPr>
    </w:p>
    <w:p w:rsidR="00FD51A6" w:rsidRPr="004F75D2" w:rsidRDefault="00FD51A6" w:rsidP="00FD51A6">
      <w:pPr>
        <w:pStyle w:val="Ruller40"/>
        <w:rPr>
          <w:rFonts w:cs="Miriam"/>
          <w:sz w:val="24"/>
          <w:szCs w:val="24"/>
          <w:rtl/>
        </w:rPr>
      </w:pPr>
      <w:r w:rsidRPr="004F75D2">
        <w:rPr>
          <w:rFonts w:cs="Miriam" w:hint="eastAsia"/>
          <w:sz w:val="24"/>
          <w:szCs w:val="24"/>
          <w:rtl/>
        </w:rPr>
        <w:t>טענות</w:t>
      </w:r>
      <w:r w:rsidRPr="004F75D2">
        <w:rPr>
          <w:rFonts w:cs="Miriam"/>
          <w:sz w:val="24"/>
          <w:szCs w:val="24"/>
          <w:rtl/>
        </w:rPr>
        <w:t xml:space="preserve"> </w:t>
      </w:r>
      <w:r w:rsidRPr="004F75D2">
        <w:rPr>
          <w:rFonts w:cs="Miriam" w:hint="eastAsia"/>
          <w:sz w:val="24"/>
          <w:szCs w:val="24"/>
          <w:rtl/>
        </w:rPr>
        <w:t>הצדדים</w:t>
      </w:r>
    </w:p>
    <w:p w:rsidR="00FD51A6" w:rsidRDefault="00FD51A6" w:rsidP="00FD51A6">
      <w:pPr>
        <w:pStyle w:val="Ruller40"/>
        <w:rPr>
          <w:rtl/>
        </w:rPr>
      </w:pPr>
    </w:p>
    <w:p w:rsidR="00FD51A6" w:rsidRDefault="00FD51A6" w:rsidP="00FD51A6">
      <w:pPr>
        <w:pStyle w:val="Ruller4"/>
        <w:tabs>
          <w:tab w:val="clear" w:pos="360"/>
          <w:tab w:val="num" w:pos="907"/>
        </w:tabs>
        <w:rPr>
          <w:rtl/>
        </w:rPr>
      </w:pPr>
      <w:r>
        <w:rPr>
          <w:rFonts w:hint="cs"/>
          <w:rtl/>
        </w:rPr>
        <w:t xml:space="preserve">המבקשים טוענים בבקשתם כי הסכום שהופקד הוא חלק מהפיצוי שנפסק למנוח בפסק הדין; וכי כל עוד תגמולי </w:t>
      </w:r>
      <w:proofErr w:type="spellStart"/>
      <w:r>
        <w:rPr>
          <w:rFonts w:hint="cs"/>
          <w:rtl/>
        </w:rPr>
        <w:t>המל"ל</w:t>
      </w:r>
      <w:proofErr w:type="spellEnd"/>
      <w:r>
        <w:rPr>
          <w:rFonts w:hint="cs"/>
          <w:rtl/>
        </w:rPr>
        <w:t xml:space="preserve"> לא עולים על הסכום שנוכה לפי פסק הדין </w:t>
      </w:r>
      <w:r>
        <w:rPr>
          <w:rtl/>
        </w:rPr>
        <w:t>–</w:t>
      </w:r>
      <w:r>
        <w:rPr>
          <w:rFonts w:hint="cs"/>
          <w:rtl/>
        </w:rPr>
        <w:t xml:space="preserve"> יש להעבירו לרשותם. בהמשך לכך נטען, כי התחשבותו של בית המשפט המחוזי בפטירתו בטרם עת של המנוח, סותרת את הוראות פסק הדין, ומנוגדת לעקרון סופיות הדיון. </w:t>
      </w:r>
    </w:p>
    <w:p w:rsidR="00FD51A6" w:rsidRDefault="00FD51A6" w:rsidP="00FD51A6">
      <w:pPr>
        <w:pStyle w:val="Ruller40"/>
        <w:rPr>
          <w:rtl/>
        </w:rPr>
      </w:pPr>
    </w:p>
    <w:p w:rsidR="00FD51A6" w:rsidRDefault="00FD51A6" w:rsidP="00FD51A6">
      <w:pPr>
        <w:pStyle w:val="Ruller4"/>
        <w:tabs>
          <w:tab w:val="clear" w:pos="360"/>
          <w:tab w:val="num" w:pos="907"/>
        </w:tabs>
        <w:rPr>
          <w:rtl/>
        </w:rPr>
      </w:pPr>
      <w:r>
        <w:rPr>
          <w:rFonts w:hint="cs"/>
          <w:rtl/>
        </w:rPr>
        <w:t xml:space="preserve">המשיבים סומכים </w:t>
      </w:r>
      <w:r w:rsidRPr="00A1287A">
        <w:rPr>
          <w:rFonts w:hint="eastAsia"/>
          <w:rtl/>
        </w:rPr>
        <w:t>ידיהם</w:t>
      </w:r>
      <w:r>
        <w:rPr>
          <w:rFonts w:hint="cs"/>
          <w:rtl/>
        </w:rPr>
        <w:t xml:space="preserve"> על החלטתו של בית המשפט המחוזי וטוענים כי עקרון סופיות הדיון דווקא תומך בהחלטה. במישור הפורמלי, המשיבים מתבססים על ההוראות המעשיות שבפסקה 96 לפסק הדין, ועומדים על כך שבשל פטירתו של המנוח </w:t>
      </w:r>
      <w:r>
        <w:rPr>
          <w:rtl/>
        </w:rPr>
        <w:t>–</w:t>
      </w:r>
      <w:r>
        <w:rPr>
          <w:rFonts w:hint="cs"/>
          <w:rtl/>
        </w:rPr>
        <w:t xml:space="preserve"> לא ניתן ליישמן. בהמשך לכך, המשיבים טוענים כי בשים לב לברירת המחדל שנקבעה בפסקה האמורה </w:t>
      </w:r>
      <w:r>
        <w:rPr>
          <w:rtl/>
        </w:rPr>
        <w:t>–</w:t>
      </w:r>
      <w:r>
        <w:rPr>
          <w:rFonts w:hint="cs"/>
          <w:rtl/>
        </w:rPr>
        <w:t xml:space="preserve"> הסכום שהופקד</w:t>
      </w:r>
      <w:r w:rsidRPr="00C37452">
        <w:rPr>
          <w:rFonts w:hint="cs"/>
          <w:rtl/>
        </w:rPr>
        <w:t xml:space="preserve"> צריך לעבור לידי המשיבה 2. במישור </w:t>
      </w:r>
      <w:r>
        <w:rPr>
          <w:rFonts w:hint="cs"/>
          <w:rtl/>
        </w:rPr>
        <w:t>של התכלית</w:t>
      </w:r>
      <w:r w:rsidRPr="00C37452">
        <w:rPr>
          <w:rFonts w:hint="cs"/>
          <w:rtl/>
        </w:rPr>
        <w:t>,</w:t>
      </w:r>
      <w:r w:rsidRPr="00C37452">
        <w:rPr>
          <w:rtl/>
        </w:rPr>
        <w:t xml:space="preserve"> </w:t>
      </w:r>
      <w:r w:rsidRPr="00C37452">
        <w:rPr>
          <w:rFonts w:hint="eastAsia"/>
          <w:rtl/>
        </w:rPr>
        <w:t>המשיבים</w:t>
      </w:r>
      <w:r w:rsidRPr="00C37452">
        <w:rPr>
          <w:rtl/>
        </w:rPr>
        <w:t xml:space="preserve"> </w:t>
      </w:r>
      <w:r w:rsidRPr="00C37452">
        <w:rPr>
          <w:rFonts w:hint="eastAsia"/>
          <w:rtl/>
        </w:rPr>
        <w:t>טוענים</w:t>
      </w:r>
      <w:r w:rsidRPr="00C37452">
        <w:rPr>
          <w:rtl/>
        </w:rPr>
        <w:t xml:space="preserve"> </w:t>
      </w:r>
      <w:r w:rsidRPr="00C37452">
        <w:rPr>
          <w:rFonts w:hint="eastAsia"/>
          <w:rtl/>
        </w:rPr>
        <w:t>כי</w:t>
      </w:r>
      <w:r w:rsidRPr="00C37452">
        <w:rPr>
          <w:rtl/>
        </w:rPr>
        <w:t xml:space="preserve"> </w:t>
      </w:r>
      <w:r w:rsidRPr="00C37452">
        <w:rPr>
          <w:rFonts w:hint="eastAsia"/>
          <w:rtl/>
        </w:rPr>
        <w:t>הסכום</w:t>
      </w:r>
      <w:r w:rsidRPr="00C37452">
        <w:rPr>
          <w:rtl/>
        </w:rPr>
        <w:t xml:space="preserve"> </w:t>
      </w:r>
      <w:r>
        <w:rPr>
          <w:rFonts w:hint="cs"/>
          <w:rtl/>
        </w:rPr>
        <w:t>שהופקד</w:t>
      </w:r>
      <w:r w:rsidRPr="00C37452">
        <w:rPr>
          <w:rtl/>
        </w:rPr>
        <w:t xml:space="preserve"> </w:t>
      </w:r>
      <w:r w:rsidRPr="00C37452">
        <w:rPr>
          <w:rFonts w:hint="eastAsia"/>
          <w:rtl/>
        </w:rPr>
        <w:t>היה</w:t>
      </w:r>
      <w:r w:rsidRPr="00C37452">
        <w:rPr>
          <w:rtl/>
        </w:rPr>
        <w:t xml:space="preserve"> </w:t>
      </w:r>
      <w:r w:rsidRPr="00C37452">
        <w:rPr>
          <w:rFonts w:hint="eastAsia"/>
          <w:rtl/>
        </w:rPr>
        <w:t>למעשה</w:t>
      </w:r>
      <w:r w:rsidRPr="00C37452">
        <w:rPr>
          <w:rtl/>
        </w:rPr>
        <w:t xml:space="preserve"> </w:t>
      </w:r>
      <w:r w:rsidRPr="00C37452">
        <w:rPr>
          <w:rFonts w:hint="eastAsia"/>
          <w:rtl/>
        </w:rPr>
        <w:t>חלק</w:t>
      </w:r>
      <w:r w:rsidRPr="00C37452">
        <w:rPr>
          <w:rtl/>
        </w:rPr>
        <w:t xml:space="preserve"> </w:t>
      </w:r>
      <w:r w:rsidRPr="00C37452">
        <w:rPr>
          <w:rFonts w:hint="eastAsia"/>
          <w:rtl/>
        </w:rPr>
        <w:t>מסכום</w:t>
      </w:r>
      <w:r w:rsidRPr="00C37452">
        <w:rPr>
          <w:rtl/>
        </w:rPr>
        <w:t xml:space="preserve"> </w:t>
      </w:r>
      <w:r w:rsidRPr="00C37452">
        <w:rPr>
          <w:rFonts w:hint="eastAsia"/>
          <w:rtl/>
        </w:rPr>
        <w:t>הניכוי</w:t>
      </w:r>
      <w:r w:rsidRPr="00C37452">
        <w:rPr>
          <w:rtl/>
        </w:rPr>
        <w:t xml:space="preserve"> </w:t>
      </w:r>
      <w:r w:rsidRPr="00C37452">
        <w:rPr>
          <w:rFonts w:hint="eastAsia"/>
          <w:rtl/>
        </w:rPr>
        <w:t>שיש</w:t>
      </w:r>
      <w:r w:rsidRPr="00C37452">
        <w:rPr>
          <w:rtl/>
        </w:rPr>
        <w:t xml:space="preserve"> </w:t>
      </w:r>
      <w:r w:rsidRPr="00C37452">
        <w:rPr>
          <w:rFonts w:hint="eastAsia"/>
          <w:rtl/>
        </w:rPr>
        <w:t>לבצע</w:t>
      </w:r>
      <w:r w:rsidRPr="00C37452">
        <w:rPr>
          <w:rtl/>
        </w:rPr>
        <w:t xml:space="preserve"> </w:t>
      </w:r>
      <w:r w:rsidRPr="00C37452">
        <w:rPr>
          <w:rFonts w:hint="eastAsia"/>
          <w:rtl/>
        </w:rPr>
        <w:t>בהתאם</w:t>
      </w:r>
      <w:r w:rsidRPr="00C37452">
        <w:rPr>
          <w:rtl/>
        </w:rPr>
        <w:t xml:space="preserve"> </w:t>
      </w:r>
      <w:r w:rsidRPr="00C37452">
        <w:rPr>
          <w:rFonts w:hint="eastAsia"/>
          <w:rtl/>
        </w:rPr>
        <w:t>להערכה</w:t>
      </w:r>
      <w:r w:rsidRPr="00C37452">
        <w:rPr>
          <w:rtl/>
        </w:rPr>
        <w:t xml:space="preserve"> </w:t>
      </w:r>
      <w:r w:rsidRPr="00C37452">
        <w:rPr>
          <w:rFonts w:hint="eastAsia"/>
          <w:rtl/>
        </w:rPr>
        <w:lastRenderedPageBreak/>
        <w:t>של</w:t>
      </w:r>
      <w:r w:rsidRPr="00C37452">
        <w:rPr>
          <w:rtl/>
        </w:rPr>
        <w:t xml:space="preserve"> </w:t>
      </w:r>
      <w:r w:rsidRPr="00C37452">
        <w:rPr>
          <w:rFonts w:hint="eastAsia"/>
          <w:rtl/>
        </w:rPr>
        <w:t>בית</w:t>
      </w:r>
      <w:r w:rsidRPr="00C37452">
        <w:rPr>
          <w:rtl/>
        </w:rPr>
        <w:t xml:space="preserve"> </w:t>
      </w:r>
      <w:r w:rsidRPr="00C37452">
        <w:rPr>
          <w:rFonts w:hint="eastAsia"/>
          <w:rtl/>
        </w:rPr>
        <w:t>המשפט</w:t>
      </w:r>
      <w:r w:rsidRPr="00C37452">
        <w:rPr>
          <w:rtl/>
        </w:rPr>
        <w:t xml:space="preserve"> </w:t>
      </w:r>
      <w:r w:rsidRPr="00C37452">
        <w:rPr>
          <w:rFonts w:hint="eastAsia"/>
          <w:rtl/>
        </w:rPr>
        <w:t>את</w:t>
      </w:r>
      <w:r w:rsidRPr="00C37452">
        <w:rPr>
          <w:rtl/>
        </w:rPr>
        <w:t xml:space="preserve"> </w:t>
      </w:r>
      <w:r w:rsidRPr="00C37452">
        <w:rPr>
          <w:rFonts w:hint="eastAsia"/>
          <w:rtl/>
        </w:rPr>
        <w:t>שיעור</w:t>
      </w:r>
      <w:r w:rsidRPr="00C37452">
        <w:rPr>
          <w:rtl/>
        </w:rPr>
        <w:t xml:space="preserve"> </w:t>
      </w:r>
      <w:r w:rsidRPr="00C37452">
        <w:rPr>
          <w:rFonts w:hint="eastAsia"/>
          <w:rtl/>
        </w:rPr>
        <w:t>תגמולי</w:t>
      </w:r>
      <w:r w:rsidRPr="00C37452">
        <w:rPr>
          <w:rtl/>
        </w:rPr>
        <w:t xml:space="preserve"> </w:t>
      </w:r>
      <w:proofErr w:type="spellStart"/>
      <w:r w:rsidRPr="00C37452">
        <w:rPr>
          <w:rFonts w:hint="eastAsia"/>
          <w:rtl/>
        </w:rPr>
        <w:t>המל</w:t>
      </w:r>
      <w:r w:rsidRPr="00C37452">
        <w:rPr>
          <w:rtl/>
        </w:rPr>
        <w:t>"</w:t>
      </w:r>
      <w:r w:rsidRPr="00C37452">
        <w:rPr>
          <w:rFonts w:hint="eastAsia"/>
          <w:rtl/>
        </w:rPr>
        <w:t>ל</w:t>
      </w:r>
      <w:proofErr w:type="spellEnd"/>
      <w:r w:rsidRPr="00C37452">
        <w:rPr>
          <w:rtl/>
        </w:rPr>
        <w:t xml:space="preserve"> </w:t>
      </w:r>
      <w:r w:rsidRPr="00C37452">
        <w:rPr>
          <w:rFonts w:hint="eastAsia"/>
          <w:rtl/>
        </w:rPr>
        <w:t>הצפויים</w:t>
      </w:r>
      <w:r w:rsidRPr="00C37452">
        <w:rPr>
          <w:rtl/>
        </w:rPr>
        <w:t xml:space="preserve">; </w:t>
      </w:r>
      <w:r w:rsidRPr="00C37452">
        <w:rPr>
          <w:rFonts w:hint="eastAsia"/>
          <w:rtl/>
        </w:rPr>
        <w:t>אלא</w:t>
      </w:r>
      <w:r w:rsidRPr="00C37452">
        <w:rPr>
          <w:rtl/>
        </w:rPr>
        <w:t xml:space="preserve"> </w:t>
      </w:r>
      <w:r w:rsidRPr="00C37452">
        <w:rPr>
          <w:rFonts w:hint="eastAsia"/>
          <w:rtl/>
        </w:rPr>
        <w:t>שבשל</w:t>
      </w:r>
      <w:r w:rsidRPr="00C37452">
        <w:rPr>
          <w:rtl/>
        </w:rPr>
        <w:t xml:space="preserve"> </w:t>
      </w:r>
      <w:r w:rsidRPr="00C37452">
        <w:rPr>
          <w:rFonts w:hint="eastAsia"/>
          <w:rtl/>
        </w:rPr>
        <w:t>ספק</w:t>
      </w:r>
      <w:r w:rsidRPr="00C37452">
        <w:rPr>
          <w:rtl/>
        </w:rPr>
        <w:t xml:space="preserve"> </w:t>
      </w:r>
      <w:r w:rsidRPr="00C37452">
        <w:rPr>
          <w:rFonts w:hint="eastAsia"/>
          <w:rtl/>
        </w:rPr>
        <w:t>ביחס</w:t>
      </w:r>
      <w:r w:rsidRPr="00C37452">
        <w:rPr>
          <w:rtl/>
        </w:rPr>
        <w:t xml:space="preserve"> </w:t>
      </w:r>
      <w:r w:rsidRPr="00C37452">
        <w:rPr>
          <w:rFonts w:hint="eastAsia"/>
          <w:rtl/>
        </w:rPr>
        <w:t>להתממשותה</w:t>
      </w:r>
      <w:r w:rsidRPr="00C37452">
        <w:rPr>
          <w:rtl/>
        </w:rPr>
        <w:t xml:space="preserve"> </w:t>
      </w:r>
      <w:r w:rsidRPr="00C37452">
        <w:rPr>
          <w:rFonts w:hint="eastAsia"/>
          <w:rtl/>
        </w:rPr>
        <w:t>של</w:t>
      </w:r>
      <w:r w:rsidRPr="00C37452">
        <w:rPr>
          <w:rtl/>
        </w:rPr>
        <w:t xml:space="preserve"> </w:t>
      </w:r>
      <w:r w:rsidRPr="00C37452">
        <w:rPr>
          <w:rFonts w:hint="eastAsia"/>
          <w:rtl/>
        </w:rPr>
        <w:t>הערכה</w:t>
      </w:r>
      <w:r w:rsidRPr="00C37452">
        <w:rPr>
          <w:rtl/>
        </w:rPr>
        <w:t xml:space="preserve"> </w:t>
      </w:r>
      <w:r w:rsidRPr="00C37452">
        <w:rPr>
          <w:rFonts w:hint="eastAsia"/>
          <w:rtl/>
        </w:rPr>
        <w:t>זו</w:t>
      </w:r>
      <w:r w:rsidRPr="00C37452">
        <w:rPr>
          <w:rtl/>
        </w:rPr>
        <w:t xml:space="preserve">, </w:t>
      </w:r>
      <w:r w:rsidRPr="00C37452">
        <w:rPr>
          <w:rFonts w:hint="eastAsia"/>
          <w:rtl/>
        </w:rPr>
        <w:t>הוחלט</w:t>
      </w:r>
      <w:r w:rsidRPr="00C37452">
        <w:rPr>
          <w:rtl/>
        </w:rPr>
        <w:t xml:space="preserve"> </w:t>
      </w:r>
      <w:r w:rsidRPr="00C37452">
        <w:rPr>
          <w:rFonts w:hint="eastAsia"/>
          <w:rtl/>
        </w:rPr>
        <w:t>להקפיא</w:t>
      </w:r>
      <w:r w:rsidRPr="00C37452">
        <w:rPr>
          <w:rtl/>
        </w:rPr>
        <w:t xml:space="preserve"> </w:t>
      </w:r>
      <w:r w:rsidRPr="00C37452">
        <w:rPr>
          <w:rFonts w:hint="eastAsia"/>
          <w:rtl/>
        </w:rPr>
        <w:t>סכום</w:t>
      </w:r>
      <w:r w:rsidRPr="00C37452">
        <w:rPr>
          <w:rtl/>
        </w:rPr>
        <w:t xml:space="preserve"> </w:t>
      </w:r>
      <w:r>
        <w:rPr>
          <w:rFonts w:hint="cs"/>
          <w:rtl/>
        </w:rPr>
        <w:t>זה</w:t>
      </w:r>
      <w:r w:rsidRPr="00C37452">
        <w:rPr>
          <w:rtl/>
        </w:rPr>
        <w:t xml:space="preserve">, </w:t>
      </w:r>
      <w:r w:rsidRPr="00C37452">
        <w:rPr>
          <w:rFonts w:hint="eastAsia"/>
          <w:rtl/>
        </w:rPr>
        <w:t>עד</w:t>
      </w:r>
      <w:r w:rsidRPr="00C37452">
        <w:rPr>
          <w:rtl/>
        </w:rPr>
        <w:t xml:space="preserve"> </w:t>
      </w:r>
      <w:r w:rsidRPr="00C37452">
        <w:rPr>
          <w:rFonts w:hint="eastAsia"/>
          <w:rtl/>
        </w:rPr>
        <w:t>שיתברר</w:t>
      </w:r>
      <w:r w:rsidRPr="00C37452">
        <w:rPr>
          <w:rtl/>
        </w:rPr>
        <w:t xml:space="preserve"> </w:t>
      </w:r>
      <w:r>
        <w:rPr>
          <w:rFonts w:hint="cs"/>
          <w:rtl/>
        </w:rPr>
        <w:t>שיעור</w:t>
      </w:r>
      <w:r w:rsidRPr="00C37452">
        <w:rPr>
          <w:rtl/>
        </w:rPr>
        <w:t xml:space="preserve"> </w:t>
      </w:r>
      <w:r w:rsidRPr="00C37452">
        <w:rPr>
          <w:rFonts w:hint="eastAsia"/>
          <w:rtl/>
        </w:rPr>
        <w:t>הניכוי</w:t>
      </w:r>
      <w:r w:rsidRPr="00C37452">
        <w:rPr>
          <w:rtl/>
        </w:rPr>
        <w:t xml:space="preserve"> </w:t>
      </w:r>
      <w:r w:rsidRPr="00C37452">
        <w:rPr>
          <w:rFonts w:hint="eastAsia"/>
          <w:rtl/>
        </w:rPr>
        <w:t>המלא</w:t>
      </w:r>
      <w:r w:rsidRPr="00C37452">
        <w:rPr>
          <w:rtl/>
        </w:rPr>
        <w:t xml:space="preserve">. </w:t>
      </w:r>
      <w:r w:rsidRPr="00C37452">
        <w:rPr>
          <w:rFonts w:hint="eastAsia"/>
          <w:rtl/>
        </w:rPr>
        <w:t>בהמשך</w:t>
      </w:r>
      <w:r w:rsidRPr="00C37452">
        <w:rPr>
          <w:rtl/>
        </w:rPr>
        <w:t xml:space="preserve"> </w:t>
      </w:r>
      <w:r w:rsidRPr="00C37452">
        <w:rPr>
          <w:rFonts w:hint="eastAsia"/>
          <w:rtl/>
        </w:rPr>
        <w:t>לכך</w:t>
      </w:r>
      <w:r w:rsidRPr="00C37452">
        <w:rPr>
          <w:rtl/>
        </w:rPr>
        <w:t xml:space="preserve"> </w:t>
      </w:r>
      <w:r w:rsidRPr="00C37452">
        <w:rPr>
          <w:rFonts w:hint="eastAsia"/>
          <w:rtl/>
        </w:rPr>
        <w:t>נטען</w:t>
      </w:r>
      <w:r w:rsidRPr="00C37452">
        <w:rPr>
          <w:rtl/>
        </w:rPr>
        <w:t xml:space="preserve">, </w:t>
      </w:r>
      <w:r w:rsidRPr="00C37452">
        <w:rPr>
          <w:rFonts w:hint="eastAsia"/>
          <w:rtl/>
        </w:rPr>
        <w:t>כי</w:t>
      </w:r>
      <w:r w:rsidRPr="00C37452">
        <w:rPr>
          <w:rtl/>
        </w:rPr>
        <w:t xml:space="preserve"> </w:t>
      </w:r>
      <w:r w:rsidRPr="00C37452">
        <w:rPr>
          <w:rFonts w:hint="eastAsia"/>
          <w:rtl/>
        </w:rPr>
        <w:t>אם</w:t>
      </w:r>
      <w:r w:rsidRPr="00C37452">
        <w:rPr>
          <w:rtl/>
        </w:rPr>
        <w:t xml:space="preserve"> </w:t>
      </w:r>
      <w:r w:rsidRPr="00C37452">
        <w:rPr>
          <w:rFonts w:hint="eastAsia"/>
          <w:rtl/>
        </w:rPr>
        <w:t>בי</w:t>
      </w:r>
      <w:r>
        <w:rPr>
          <w:rFonts w:hint="cs"/>
          <w:rtl/>
        </w:rPr>
        <w:t>ת</w:t>
      </w:r>
      <w:r w:rsidRPr="00C37452">
        <w:rPr>
          <w:rtl/>
        </w:rPr>
        <w:t xml:space="preserve"> </w:t>
      </w:r>
      <w:r w:rsidRPr="00C37452">
        <w:rPr>
          <w:rFonts w:hint="eastAsia"/>
          <w:rtl/>
        </w:rPr>
        <w:t>המשפט</w:t>
      </w:r>
      <w:r w:rsidRPr="00C37452">
        <w:rPr>
          <w:rtl/>
        </w:rPr>
        <w:t xml:space="preserve"> </w:t>
      </w:r>
      <w:r w:rsidRPr="00C37452">
        <w:rPr>
          <w:rFonts w:hint="eastAsia"/>
          <w:rtl/>
        </w:rPr>
        <w:t>היה</w:t>
      </w:r>
      <w:r w:rsidRPr="00C37452">
        <w:rPr>
          <w:rtl/>
        </w:rPr>
        <w:t xml:space="preserve"> </w:t>
      </w:r>
      <w:r w:rsidRPr="00C37452">
        <w:rPr>
          <w:rFonts w:hint="eastAsia"/>
          <w:rtl/>
        </w:rPr>
        <w:t>מבצע</w:t>
      </w:r>
      <w:r w:rsidRPr="00C37452">
        <w:rPr>
          <w:rtl/>
        </w:rPr>
        <w:t xml:space="preserve"> </w:t>
      </w:r>
      <w:r w:rsidRPr="00C37452">
        <w:rPr>
          <w:rFonts w:hint="eastAsia"/>
          <w:rtl/>
        </w:rPr>
        <w:t>את</w:t>
      </w:r>
      <w:r w:rsidRPr="00C37452">
        <w:rPr>
          <w:rtl/>
        </w:rPr>
        <w:t xml:space="preserve"> </w:t>
      </w:r>
      <w:r w:rsidRPr="00C37452">
        <w:rPr>
          <w:rFonts w:hint="eastAsia"/>
          <w:rtl/>
        </w:rPr>
        <w:t>הניכוי</w:t>
      </w:r>
      <w:r w:rsidRPr="00C37452">
        <w:rPr>
          <w:rtl/>
        </w:rPr>
        <w:t xml:space="preserve"> "</w:t>
      </w:r>
      <w:r w:rsidRPr="00C37452">
        <w:rPr>
          <w:rFonts w:hint="eastAsia"/>
          <w:rtl/>
        </w:rPr>
        <w:t>בדרך</w:t>
      </w:r>
      <w:r w:rsidRPr="00C37452">
        <w:rPr>
          <w:rtl/>
        </w:rPr>
        <w:t xml:space="preserve"> </w:t>
      </w:r>
      <w:r w:rsidRPr="00C37452">
        <w:rPr>
          <w:rFonts w:hint="eastAsia"/>
          <w:rtl/>
        </w:rPr>
        <w:t>הרגילה</w:t>
      </w:r>
      <w:r w:rsidRPr="00C37452">
        <w:rPr>
          <w:rtl/>
        </w:rPr>
        <w:t xml:space="preserve">", </w:t>
      </w:r>
      <w:r w:rsidRPr="00C37452">
        <w:rPr>
          <w:rFonts w:hint="eastAsia"/>
          <w:rtl/>
        </w:rPr>
        <w:t>הניכוי</w:t>
      </w:r>
      <w:r w:rsidRPr="00C37452">
        <w:rPr>
          <w:rtl/>
        </w:rPr>
        <w:t xml:space="preserve"> </w:t>
      </w:r>
      <w:r w:rsidRPr="00C37452">
        <w:rPr>
          <w:rFonts w:hint="eastAsia"/>
          <w:rtl/>
        </w:rPr>
        <w:t>היה</w:t>
      </w:r>
      <w:r w:rsidRPr="00C37452">
        <w:rPr>
          <w:rtl/>
        </w:rPr>
        <w:t xml:space="preserve"> </w:t>
      </w:r>
      <w:r w:rsidRPr="00C37452">
        <w:rPr>
          <w:rFonts w:hint="eastAsia"/>
          <w:rtl/>
        </w:rPr>
        <w:t>כולל</w:t>
      </w:r>
      <w:r w:rsidRPr="00C37452">
        <w:rPr>
          <w:rtl/>
        </w:rPr>
        <w:t xml:space="preserve"> </w:t>
      </w:r>
      <w:r w:rsidRPr="00C37452">
        <w:rPr>
          <w:rFonts w:hint="eastAsia"/>
          <w:rtl/>
        </w:rPr>
        <w:t>את</w:t>
      </w:r>
      <w:r w:rsidRPr="00C37452">
        <w:rPr>
          <w:rtl/>
        </w:rPr>
        <w:t xml:space="preserve"> </w:t>
      </w:r>
      <w:r w:rsidRPr="00C37452">
        <w:rPr>
          <w:rFonts w:hint="eastAsia"/>
          <w:rtl/>
        </w:rPr>
        <w:t>הסכום</w:t>
      </w:r>
      <w:r w:rsidRPr="00C37452">
        <w:rPr>
          <w:rtl/>
        </w:rPr>
        <w:t xml:space="preserve"> </w:t>
      </w:r>
      <w:r>
        <w:rPr>
          <w:rFonts w:hint="cs"/>
          <w:rtl/>
        </w:rPr>
        <w:t>שהופקד</w:t>
      </w:r>
      <w:r w:rsidRPr="00C37452">
        <w:rPr>
          <w:rtl/>
        </w:rPr>
        <w:t xml:space="preserve">. </w:t>
      </w:r>
      <w:r w:rsidRPr="00C37452">
        <w:rPr>
          <w:rFonts w:hint="eastAsia"/>
          <w:rtl/>
        </w:rPr>
        <w:t>נוסף</w:t>
      </w:r>
      <w:r w:rsidRPr="00C37452">
        <w:rPr>
          <w:rtl/>
        </w:rPr>
        <w:t xml:space="preserve"> </w:t>
      </w:r>
      <w:r w:rsidRPr="00C37452">
        <w:rPr>
          <w:rFonts w:hint="eastAsia"/>
          <w:rtl/>
        </w:rPr>
        <w:t>על</w:t>
      </w:r>
      <w:r>
        <w:rPr>
          <w:rFonts w:hint="cs"/>
          <w:rtl/>
        </w:rPr>
        <w:t xml:space="preserve"> כך, נטען כי "בבקשתם הנוכחית מבקשים התובעים להגיע לתוצאה, </w:t>
      </w:r>
      <w:r w:rsidRPr="00A14458">
        <w:rPr>
          <w:rFonts w:ascii="Century" w:hAnsi="Century" w:cs="Miriam" w:hint="cs"/>
          <w:b/>
          <w:spacing w:val="0"/>
          <w:sz w:val="22"/>
          <w:szCs w:val="24"/>
          <w:rtl/>
        </w:rPr>
        <w:t xml:space="preserve">שהפיצוי נמשך עד הזקנה, והניכוי נפסק בגיל 18. תוצאה כזו איננה מוכרת בדיני </w:t>
      </w:r>
      <w:proofErr w:type="spellStart"/>
      <w:r w:rsidRPr="00A14458">
        <w:rPr>
          <w:rFonts w:ascii="Century" w:hAnsi="Century" w:cs="Miriam" w:hint="cs"/>
          <w:b/>
          <w:spacing w:val="0"/>
          <w:sz w:val="22"/>
          <w:szCs w:val="24"/>
          <w:rtl/>
        </w:rPr>
        <w:t>הנזיקין</w:t>
      </w:r>
      <w:proofErr w:type="spellEnd"/>
      <w:r>
        <w:rPr>
          <w:rFonts w:hint="cs"/>
          <w:rtl/>
        </w:rPr>
        <w:t xml:space="preserve">, והיא לא מתקבלת על הדעת" [ההדגשה במקור]. לבסוף, המשיבים טוענים כי "פסק הדין איננו סופי, וכן דורש פרשנות". </w:t>
      </w:r>
    </w:p>
    <w:p w:rsidR="00FD51A6" w:rsidRPr="000D21F0" w:rsidRDefault="00FD51A6" w:rsidP="00FD51A6">
      <w:pPr>
        <w:pStyle w:val="Ruller40"/>
        <w:rPr>
          <w:rtl/>
        </w:rPr>
      </w:pPr>
    </w:p>
    <w:p w:rsidR="00FD51A6" w:rsidRPr="00EF44BF" w:rsidRDefault="00FD51A6" w:rsidP="00FD51A6">
      <w:pPr>
        <w:pStyle w:val="Ruller40"/>
        <w:rPr>
          <w:rFonts w:cs="Miriam"/>
          <w:b/>
          <w:spacing w:val="0"/>
          <w:szCs w:val="24"/>
          <w:rtl/>
        </w:rPr>
      </w:pPr>
      <w:r w:rsidRPr="000D21F0">
        <w:rPr>
          <w:rFonts w:ascii="Century" w:hAnsi="Century" w:cs="Miriam" w:hint="cs"/>
          <w:b/>
          <w:spacing w:val="0"/>
          <w:szCs w:val="24"/>
          <w:rtl/>
        </w:rPr>
        <w:t>דיון והכרעה</w:t>
      </w:r>
    </w:p>
    <w:p w:rsidR="00FD51A6" w:rsidRPr="004E36C5" w:rsidRDefault="00FD51A6" w:rsidP="00FD51A6">
      <w:pPr>
        <w:tabs>
          <w:tab w:val="left" w:pos="800"/>
        </w:tabs>
        <w:jc w:val="both"/>
        <w:rPr>
          <w:sz w:val="22"/>
          <w:rtl/>
        </w:rPr>
      </w:pPr>
    </w:p>
    <w:p w:rsidR="00FD51A6" w:rsidRDefault="00FD51A6" w:rsidP="00FD51A6">
      <w:pPr>
        <w:pStyle w:val="Ruller4"/>
        <w:tabs>
          <w:tab w:val="clear" w:pos="360"/>
          <w:tab w:val="num" w:pos="907"/>
        </w:tabs>
        <w:rPr>
          <w:rtl/>
        </w:rPr>
      </w:pPr>
      <w:r w:rsidRPr="004E36C5">
        <w:rPr>
          <w:rFonts w:hint="cs"/>
          <w:rtl/>
        </w:rPr>
        <w:t>לאחר שעיינתי בבקש</w:t>
      </w:r>
      <w:r>
        <w:rPr>
          <w:rFonts w:hint="cs"/>
          <w:rtl/>
        </w:rPr>
        <w:t>ה</w:t>
      </w:r>
      <w:r w:rsidRPr="004E36C5">
        <w:rPr>
          <w:rFonts w:hint="cs"/>
          <w:rtl/>
        </w:rPr>
        <w:t xml:space="preserve"> ובת</w:t>
      </w:r>
      <w:r>
        <w:rPr>
          <w:rFonts w:hint="cs"/>
          <w:rtl/>
        </w:rPr>
        <w:t>ג</w:t>
      </w:r>
      <w:r w:rsidRPr="004E36C5">
        <w:rPr>
          <w:rFonts w:hint="cs"/>
          <w:rtl/>
        </w:rPr>
        <w:t>וב</w:t>
      </w:r>
      <w:r>
        <w:rPr>
          <w:rFonts w:hint="cs"/>
          <w:rtl/>
        </w:rPr>
        <w:t>ה</w:t>
      </w:r>
      <w:r w:rsidRPr="004E36C5">
        <w:rPr>
          <w:rFonts w:hint="cs"/>
          <w:rtl/>
        </w:rPr>
        <w:t xml:space="preserve"> לה, ובהתאם לסמכותי לפי תקנה 149(2)(ב)</w:t>
      </w:r>
      <w:r w:rsidRPr="004E36C5">
        <w:rPr>
          <w:rFonts w:hint="cs"/>
        </w:rPr>
        <w:t xml:space="preserve"> </w:t>
      </w:r>
      <w:r w:rsidRPr="004E36C5">
        <w:rPr>
          <w:rFonts w:hint="cs"/>
          <w:rtl/>
        </w:rPr>
        <w:t xml:space="preserve">לתקנות סדר הדין האזרחי, התשע״ט-2018, החלטתי לדון בבקשת הרשות לערער כאילו ניתנה רשות והוגש ערעור על-פי הרשות שניתנה. כפי שיבואר להלן, אני סבורה כי דין הערעור להתקבל. </w:t>
      </w:r>
    </w:p>
    <w:p w:rsidR="00FD51A6" w:rsidRDefault="00FD51A6" w:rsidP="00FD51A6">
      <w:pPr>
        <w:tabs>
          <w:tab w:val="left" w:pos="800"/>
        </w:tabs>
        <w:jc w:val="both"/>
        <w:rPr>
          <w:sz w:val="22"/>
          <w:rtl/>
        </w:rPr>
      </w:pPr>
    </w:p>
    <w:p w:rsidR="00FD51A6" w:rsidRDefault="00FD51A6" w:rsidP="00FD51A6">
      <w:pPr>
        <w:pStyle w:val="Ruller4"/>
        <w:tabs>
          <w:tab w:val="clear" w:pos="360"/>
          <w:tab w:val="num" w:pos="907"/>
        </w:tabs>
      </w:pPr>
      <w:r>
        <w:rPr>
          <w:rFonts w:hint="cs"/>
          <w:rtl/>
        </w:rPr>
        <w:t xml:space="preserve">כידוע, עקרון סופיות הדיון הוא עקרון בסיסי, שהצדדים אינם חלוקים על חשיבותו; וממילא אין צורך להכביר מילים בעניין. יוער בתמצית, כי בהתאם לעקרון זה, כאשר קיים פסק דין חלוט, בעלי הדין מנועים, ככלל, מפתיחת התדיינות משפטית נוספת ביניהם בנוגע לעניינים שהוכרעו בפסק הדין, אף אם חל שינוי נסיבות. לכלל זה שני שיקולים עיקריים: יצירת ודאות לבעלי הדין המאפשרת להם להישען על פסק הדין שניתן ולהתנהל בהתאם תחת ההנחה כי לא יהיו מוטרדים פעם נוספת בהליך משפטי לגבי העניינים שהוכרעו במסגרתו; וכן שיקולים הנוגעים לחסכון במשאבים ציבוריים והפעלה של מערכת המשפט בצורה יעילה (ראו: בג"ץ 4842/06 </w:t>
      </w:r>
      <w:r w:rsidRPr="00024B8F">
        <w:rPr>
          <w:rFonts w:ascii="Century" w:hAnsi="Century" w:cs="Miriam" w:hint="cs"/>
          <w:b/>
          <w:spacing w:val="0"/>
          <w:sz w:val="22"/>
          <w:szCs w:val="24"/>
          <w:rtl/>
        </w:rPr>
        <w:t>פלוני נ' שר הפנים</w:t>
      </w:r>
      <w:r>
        <w:rPr>
          <w:rFonts w:hint="cs"/>
          <w:rtl/>
        </w:rPr>
        <w:t xml:space="preserve">, פס' 9 (11.4.2007)). </w:t>
      </w:r>
    </w:p>
    <w:p w:rsidR="00FD51A6" w:rsidRDefault="00FD51A6" w:rsidP="00FD51A6">
      <w:pPr>
        <w:pStyle w:val="Ruller4"/>
        <w:numPr>
          <w:ilvl w:val="0"/>
          <w:numId w:val="0"/>
        </w:numPr>
      </w:pPr>
    </w:p>
    <w:p w:rsidR="00FD51A6" w:rsidRDefault="00FD51A6" w:rsidP="00FD51A6">
      <w:pPr>
        <w:pStyle w:val="Ruller4"/>
        <w:tabs>
          <w:tab w:val="clear" w:pos="360"/>
          <w:tab w:val="num" w:pos="907"/>
        </w:tabs>
      </w:pPr>
      <w:r>
        <w:rPr>
          <w:rFonts w:hint="cs"/>
          <w:rtl/>
        </w:rPr>
        <w:t xml:space="preserve">כשעיקרון זה עומד לנגד עינינו, נבחן את המקרה שלפנינו. המחלוקת בין הצדדים נוגעת לתוצאה האופרטיבית הנגזרת מפסק הדין. כמתואר לעיל, בפסק הדין הועמד סכום הפיצוי שזכאי המנוח לקבל (או עיזבונו שבא בנעליו), על סך </w:t>
      </w:r>
      <w:r w:rsidRPr="00204BEF">
        <w:rPr>
          <w:rFonts w:hint="cs"/>
          <w:rtl/>
        </w:rPr>
        <w:t xml:space="preserve">של 9,380,039 </w:t>
      </w:r>
      <w:r>
        <w:rPr>
          <w:rFonts w:hint="cs"/>
          <w:rtl/>
        </w:rPr>
        <w:t>ש"ח</w:t>
      </w:r>
      <w:r w:rsidRPr="00204BEF">
        <w:rPr>
          <w:rFonts w:hint="cs"/>
          <w:rtl/>
        </w:rPr>
        <w:t xml:space="preserve">. </w:t>
      </w:r>
      <w:r>
        <w:rPr>
          <w:rFonts w:hint="cs"/>
          <w:rtl/>
        </w:rPr>
        <w:t>סכום זה</w:t>
      </w:r>
      <w:r w:rsidDel="00167564">
        <w:rPr>
          <w:rFonts w:hint="cs"/>
          <w:rtl/>
        </w:rPr>
        <w:t xml:space="preserve"> </w:t>
      </w:r>
      <w:r>
        <w:rPr>
          <w:rFonts w:hint="cs"/>
          <w:rtl/>
        </w:rPr>
        <w:t xml:space="preserve">משקף את הנזקים שנגרמו למנוח כתוצאה מהתאונה, בהתאם להערכה של בית המשפט המחוזי </w:t>
      </w:r>
      <w:r w:rsidRPr="00416FF3">
        <w:rPr>
          <w:rFonts w:cs="Miriam" w:hint="eastAsia"/>
          <w:szCs w:val="24"/>
          <w:rtl/>
        </w:rPr>
        <w:t>במועד</w:t>
      </w:r>
      <w:r w:rsidRPr="00416FF3">
        <w:rPr>
          <w:rFonts w:cs="Miriam"/>
          <w:szCs w:val="24"/>
          <w:rtl/>
        </w:rPr>
        <w:t xml:space="preserve"> </w:t>
      </w:r>
      <w:r w:rsidRPr="00416FF3">
        <w:rPr>
          <w:rFonts w:cs="Miriam" w:hint="eastAsia"/>
          <w:szCs w:val="24"/>
          <w:rtl/>
        </w:rPr>
        <w:t>מתן</w:t>
      </w:r>
      <w:r w:rsidRPr="00416FF3">
        <w:rPr>
          <w:rFonts w:cs="Miriam"/>
          <w:szCs w:val="24"/>
          <w:rtl/>
        </w:rPr>
        <w:t xml:space="preserve"> </w:t>
      </w:r>
      <w:r w:rsidRPr="00416FF3">
        <w:rPr>
          <w:rFonts w:cs="Miriam" w:hint="eastAsia"/>
          <w:szCs w:val="24"/>
          <w:rtl/>
        </w:rPr>
        <w:t>פסק</w:t>
      </w:r>
      <w:r w:rsidRPr="00416FF3">
        <w:rPr>
          <w:rFonts w:cs="Miriam"/>
          <w:szCs w:val="24"/>
          <w:rtl/>
        </w:rPr>
        <w:t xml:space="preserve"> </w:t>
      </w:r>
      <w:r w:rsidRPr="00416FF3">
        <w:rPr>
          <w:rFonts w:cs="Miriam" w:hint="eastAsia"/>
          <w:szCs w:val="24"/>
          <w:rtl/>
        </w:rPr>
        <w:t>הדין</w:t>
      </w:r>
      <w:r>
        <w:rPr>
          <w:rFonts w:hint="cs"/>
          <w:rtl/>
        </w:rPr>
        <w:t xml:space="preserve">. מסכום זה צריך היה בית המשפט המחוזי לנכות הטבות שקיבל המנוח ושעתיד היה לקבל כתוצאה מהתאונה. אולם, בשל העמימות בשאלת גובה תגמולי </w:t>
      </w:r>
      <w:proofErr w:type="spellStart"/>
      <w:r>
        <w:rPr>
          <w:rFonts w:hint="cs"/>
          <w:rtl/>
        </w:rPr>
        <w:t>המל"ל</w:t>
      </w:r>
      <w:proofErr w:type="spellEnd"/>
      <w:r>
        <w:rPr>
          <w:rFonts w:hint="cs"/>
          <w:rtl/>
        </w:rPr>
        <w:t xml:space="preserve"> שצפוי היה המנוח לקבל לאחר הגיעו לגיל 18, הקפיא בית המשפט המחוזי סכום של מיליון ש"ח, כדי שאפשר יהיה לבצע את הניכוי לאחר שיתברר סכום התגמולים העתידיים (יוער, כי מדובר בפרקטיקה שגרתית במקרים כאלה). </w:t>
      </w:r>
    </w:p>
    <w:p w:rsidR="00FD51A6" w:rsidRDefault="00FD51A6" w:rsidP="00FD51A6">
      <w:pPr>
        <w:pStyle w:val="Ruller4"/>
        <w:numPr>
          <w:ilvl w:val="0"/>
          <w:numId w:val="0"/>
        </w:numPr>
        <w:rPr>
          <w:rtl/>
        </w:rPr>
      </w:pPr>
    </w:p>
    <w:p w:rsidR="00FD51A6" w:rsidRDefault="00FD51A6" w:rsidP="00FD51A6">
      <w:pPr>
        <w:pStyle w:val="Ruller4"/>
        <w:numPr>
          <w:ilvl w:val="0"/>
          <w:numId w:val="0"/>
        </w:numPr>
        <w:rPr>
          <w:rtl/>
        </w:rPr>
      </w:pPr>
      <w:r>
        <w:rPr>
          <w:rtl/>
        </w:rPr>
        <w:tab/>
      </w:r>
      <w:r>
        <w:rPr>
          <w:rFonts w:hint="cs"/>
          <w:rtl/>
        </w:rPr>
        <w:t xml:space="preserve">בשל פטירתו המצערת של המנוח, סך התגמולים שהתקבלו </w:t>
      </w:r>
      <w:proofErr w:type="spellStart"/>
      <w:r>
        <w:rPr>
          <w:rFonts w:hint="cs"/>
          <w:rtl/>
        </w:rPr>
        <w:t>מהמל"ל</w:t>
      </w:r>
      <w:proofErr w:type="spellEnd"/>
      <w:r>
        <w:rPr>
          <w:rFonts w:hint="cs"/>
          <w:rtl/>
        </w:rPr>
        <w:t xml:space="preserve"> בגין התאונה לא עלה בסופו של דבר על הסכומים שבית המשפט ניכה בפועל בפסק הדין. במצב דברים זה, ברי כי אין מקום לנכות כספים מעבר לאלה שבית המשפט המחוזי ניכה כבר במסגרת פסק-דינו. כל ניכוי נוסף יגרע מסכום הפיצוי </w:t>
      </w:r>
      <w:r w:rsidRPr="00416FF3">
        <w:rPr>
          <w:rFonts w:cs="Miriam" w:hint="eastAsia"/>
          <w:szCs w:val="24"/>
          <w:rtl/>
        </w:rPr>
        <w:t>החלוט</w:t>
      </w:r>
      <w:r w:rsidRPr="00416FF3">
        <w:rPr>
          <w:rFonts w:cs="Miriam"/>
          <w:szCs w:val="24"/>
          <w:rtl/>
        </w:rPr>
        <w:t xml:space="preserve"> </w:t>
      </w:r>
      <w:r>
        <w:rPr>
          <w:rFonts w:hint="cs"/>
          <w:rtl/>
        </w:rPr>
        <w:t xml:space="preserve">שנקבע בפסק הדין. יודגש, כי העובדה שבשל פטירת המנוח, לא התממשו מלוא הנזקים שהוערכו במסגרת פסק-דינו של בית המשפט המחוזי, אינה יכולה להצדיק שינוי בדיעבד של פסק הדין </w:t>
      </w:r>
      <w:r w:rsidRPr="00C80A0E">
        <w:rPr>
          <w:rFonts w:ascii="Century" w:hAnsi="Century" w:cs="Miriam" w:hint="cs"/>
          <w:b/>
          <w:spacing w:val="0"/>
          <w:sz w:val="22"/>
          <w:szCs w:val="24"/>
          <w:rtl/>
        </w:rPr>
        <w:t>החלוט</w:t>
      </w:r>
      <w:r>
        <w:rPr>
          <w:rFonts w:hint="cs"/>
          <w:rtl/>
        </w:rPr>
        <w:t>.</w:t>
      </w:r>
    </w:p>
    <w:p w:rsidR="00FD51A6" w:rsidRDefault="00FD51A6" w:rsidP="00FD51A6">
      <w:pPr>
        <w:pStyle w:val="Ruller40"/>
        <w:rPr>
          <w:rtl/>
        </w:rPr>
      </w:pPr>
      <w:r>
        <w:rPr>
          <w:rFonts w:ascii="Century" w:hAnsi="Century" w:hint="cs"/>
          <w:rtl/>
        </w:rPr>
        <w:t xml:space="preserve"> </w:t>
      </w:r>
    </w:p>
    <w:p w:rsidR="00FD51A6" w:rsidRDefault="00FD51A6" w:rsidP="00FD51A6">
      <w:pPr>
        <w:pStyle w:val="Ruller4"/>
        <w:tabs>
          <w:tab w:val="clear" w:pos="360"/>
          <w:tab w:val="num" w:pos="907"/>
        </w:tabs>
        <w:rPr>
          <w:sz w:val="22"/>
          <w:rtl/>
        </w:rPr>
      </w:pPr>
      <w:r>
        <w:rPr>
          <w:rFonts w:ascii="Century" w:hAnsi="Century" w:hint="cs"/>
          <w:sz w:val="22"/>
          <w:rtl/>
        </w:rPr>
        <w:t xml:space="preserve">בשולי הדברים, יוער כי אין להיאחז בהעדר פנייה של המנוח </w:t>
      </w:r>
      <w:proofErr w:type="spellStart"/>
      <w:r>
        <w:rPr>
          <w:rFonts w:ascii="Century" w:hAnsi="Century" w:hint="cs"/>
          <w:sz w:val="22"/>
          <w:rtl/>
        </w:rPr>
        <w:t>למל"ל</w:t>
      </w:r>
      <w:proofErr w:type="spellEnd"/>
      <w:r>
        <w:rPr>
          <w:rFonts w:ascii="Century" w:hAnsi="Century" w:hint="cs"/>
          <w:sz w:val="22"/>
          <w:rtl/>
        </w:rPr>
        <w:t xml:space="preserve"> לאחר הגיעו לגיל 18, כהצדקה לאי-העברה של הסכום המופקד לידי המבקשים</w:t>
      </w:r>
      <w:r>
        <w:rPr>
          <w:rFonts w:hint="cs"/>
          <w:sz w:val="22"/>
          <w:rtl/>
        </w:rPr>
        <w:t xml:space="preserve">. ברירת המחדל שנקבעה בפסק הדין, שלפיה בהעדר פנייה </w:t>
      </w:r>
      <w:r>
        <w:rPr>
          <w:sz w:val="22"/>
          <w:rtl/>
        </w:rPr>
        <w:t>–</w:t>
      </w:r>
      <w:r>
        <w:rPr>
          <w:rFonts w:hint="cs"/>
          <w:sz w:val="22"/>
          <w:rtl/>
        </w:rPr>
        <w:t xml:space="preserve"> הכסף יועבר למשיבה 2 - נועדה למנוע אך מצב שבו המנוח </w:t>
      </w:r>
      <w:r w:rsidRPr="00C80A0E">
        <w:rPr>
          <w:rFonts w:ascii="Century" w:hAnsi="Century" w:cs="Miriam" w:hint="cs"/>
          <w:b/>
          <w:spacing w:val="0"/>
          <w:sz w:val="22"/>
          <w:szCs w:val="24"/>
          <w:rtl/>
        </w:rPr>
        <w:t>בוחר</w:t>
      </w:r>
      <w:r>
        <w:rPr>
          <w:rFonts w:hint="cs"/>
          <w:sz w:val="22"/>
          <w:rtl/>
        </w:rPr>
        <w:t xml:space="preserve"> שלא לפנות </w:t>
      </w:r>
      <w:proofErr w:type="spellStart"/>
      <w:r>
        <w:rPr>
          <w:rFonts w:hint="cs"/>
          <w:sz w:val="22"/>
          <w:rtl/>
        </w:rPr>
        <w:t>למל"ל</w:t>
      </w:r>
      <w:proofErr w:type="spellEnd"/>
      <w:r>
        <w:rPr>
          <w:rFonts w:hint="cs"/>
          <w:sz w:val="22"/>
          <w:rtl/>
        </w:rPr>
        <w:t xml:space="preserve"> ובכך מכשיל את מלאכת הבירור העובדתי של גובה התגמולים שאמורים היו להשתלם למנוח. לא זה המצב בענייננו, והדברים ברורים.</w:t>
      </w:r>
    </w:p>
    <w:p w:rsidR="00FD51A6" w:rsidRDefault="00FD51A6" w:rsidP="00FD51A6">
      <w:pPr>
        <w:pStyle w:val="Ruller40"/>
        <w:rPr>
          <w:rtl/>
        </w:rPr>
      </w:pPr>
    </w:p>
    <w:p w:rsidR="00FD51A6" w:rsidRDefault="00FD51A6" w:rsidP="00FD51A6">
      <w:pPr>
        <w:pStyle w:val="Ruller4"/>
        <w:tabs>
          <w:tab w:val="clear" w:pos="360"/>
          <w:tab w:val="num" w:pos="907"/>
        </w:tabs>
        <w:rPr>
          <w:rtl/>
        </w:rPr>
      </w:pPr>
      <w:r w:rsidRPr="00B94ED6">
        <w:rPr>
          <w:rFonts w:cs="Miriam" w:hint="eastAsia"/>
          <w:szCs w:val="24"/>
          <w:rtl/>
        </w:rPr>
        <w:t>סוף</w:t>
      </w:r>
      <w:r w:rsidRPr="00B94ED6">
        <w:rPr>
          <w:rFonts w:cs="Miriam"/>
          <w:szCs w:val="24"/>
          <w:rtl/>
        </w:rPr>
        <w:t xml:space="preserve"> </w:t>
      </w:r>
      <w:r w:rsidRPr="00B94ED6">
        <w:rPr>
          <w:rFonts w:cs="Miriam" w:hint="eastAsia"/>
          <w:szCs w:val="24"/>
          <w:rtl/>
        </w:rPr>
        <w:t>דבר</w:t>
      </w:r>
      <w:r>
        <w:rPr>
          <w:rFonts w:hint="cs"/>
          <w:rtl/>
        </w:rPr>
        <w:t xml:space="preserve"> </w:t>
      </w:r>
      <w:r>
        <w:rPr>
          <w:rtl/>
        </w:rPr>
        <w:t>–</w:t>
      </w:r>
      <w:r>
        <w:rPr>
          <w:rFonts w:hint="cs"/>
          <w:rtl/>
        </w:rPr>
        <w:t xml:space="preserve"> </w:t>
      </w:r>
      <w:r w:rsidRPr="00CE5372">
        <w:rPr>
          <w:rFonts w:hint="cs"/>
          <w:rtl/>
        </w:rPr>
        <w:t xml:space="preserve">הערעור </w:t>
      </w:r>
      <w:r>
        <w:rPr>
          <w:rFonts w:hint="cs"/>
          <w:rtl/>
        </w:rPr>
        <w:t>מתקבל. הסכום שהופקד בבנק לאומי סניף הנביאים (חשבון מ' 36819/03) יועבר לידי המבקשים, בתוספת שכר טרחת עו"ד ומע"מ כחוק.</w:t>
      </w:r>
      <w:r w:rsidRPr="00CE5372">
        <w:rPr>
          <w:rFonts w:hint="cs"/>
          <w:rtl/>
        </w:rPr>
        <w:t xml:space="preserve"> </w:t>
      </w:r>
    </w:p>
    <w:p w:rsidR="00FD51A6" w:rsidRDefault="00FD51A6" w:rsidP="00FD51A6">
      <w:pPr>
        <w:tabs>
          <w:tab w:val="left" w:pos="800"/>
        </w:tabs>
        <w:jc w:val="both"/>
        <w:rPr>
          <w:rFonts w:ascii="Arial TUR" w:hAnsi="Arial TUR" w:cs="FrankRuehl"/>
          <w:spacing w:val="10"/>
          <w:sz w:val="22"/>
          <w:szCs w:val="28"/>
          <w:rtl/>
        </w:rPr>
      </w:pPr>
    </w:p>
    <w:p w:rsidR="00FD51A6" w:rsidRPr="00CE5372" w:rsidRDefault="00FD51A6" w:rsidP="00FD51A6">
      <w:pPr>
        <w:tabs>
          <w:tab w:val="left" w:pos="800"/>
        </w:tabs>
        <w:jc w:val="both"/>
        <w:rPr>
          <w:sz w:val="22"/>
          <w:rtl/>
        </w:rPr>
      </w:pPr>
    </w:p>
    <w:p w:rsidR="00FD51A6" w:rsidRDefault="00FD51A6" w:rsidP="00FD51A6">
      <w:pPr>
        <w:pStyle w:val="Ruller40"/>
        <w:rPr>
          <w:rtl/>
        </w:rPr>
      </w:pPr>
      <w:r w:rsidRPr="00CE5372">
        <w:rPr>
          <w:rFonts w:hint="cs"/>
          <w:rtl/>
        </w:rPr>
        <w:tab/>
      </w:r>
      <w:r w:rsidRPr="00A642B8">
        <w:rPr>
          <w:rFonts w:hint="cs"/>
          <w:rtl/>
        </w:rPr>
        <w:t xml:space="preserve">בנסיבות העניין, לא ייעשה צו להוצאות. </w:t>
      </w:r>
    </w:p>
    <w:p w:rsidR="00FD51A6" w:rsidRDefault="00FD51A6" w:rsidP="00FD51A6">
      <w:pPr>
        <w:pStyle w:val="Ruller40"/>
        <w:rPr>
          <w:rtl/>
        </w:rPr>
      </w:pPr>
    </w:p>
    <w:p w:rsidR="00FD51A6" w:rsidRDefault="00FD51A6" w:rsidP="00FD51A6">
      <w:pPr>
        <w:pStyle w:val="Ruller40"/>
        <w:rPr>
          <w:rtl/>
        </w:rPr>
      </w:pPr>
      <w:r>
        <w:rPr>
          <w:rtl/>
        </w:rPr>
        <w:tab/>
        <w:t>נית</w:t>
      </w:r>
      <w:r>
        <w:rPr>
          <w:rFonts w:hint="cs"/>
          <w:rtl/>
        </w:rPr>
        <w:t>ן</w:t>
      </w:r>
      <w:r>
        <w:rPr>
          <w:rtl/>
        </w:rPr>
        <w:t xml:space="preserve"> היום, </w:t>
      </w:r>
      <w:r>
        <w:rPr>
          <w:rFonts w:hint="eastAsia"/>
          <w:rtl/>
        </w:rPr>
        <w:t>‏כ</w:t>
      </w:r>
      <w:r>
        <w:rPr>
          <w:rtl/>
        </w:rPr>
        <w:t xml:space="preserve">"ד באייר </w:t>
      </w:r>
      <w:proofErr w:type="spellStart"/>
      <w:r>
        <w:rPr>
          <w:rtl/>
        </w:rPr>
        <w:t>התשפ"ב</w:t>
      </w:r>
      <w:proofErr w:type="spellEnd"/>
      <w:r>
        <w:rPr>
          <w:rtl/>
        </w:rPr>
        <w:t xml:space="preserve"> (</w:t>
      </w:r>
      <w:r>
        <w:rPr>
          <w:rFonts w:hint="eastAsia"/>
          <w:rtl/>
        </w:rPr>
        <w:t>‏</w:t>
      </w:r>
      <w:r>
        <w:rPr>
          <w:rtl/>
        </w:rPr>
        <w:t>25.5.2022).</w:t>
      </w:r>
    </w:p>
    <w:p w:rsidR="00FD51A6" w:rsidRDefault="00FD51A6" w:rsidP="00FD51A6">
      <w:pPr>
        <w:pStyle w:val="Ruller40"/>
        <w:rPr>
          <w:rFonts w:hint="cs"/>
          <w:rtl/>
        </w:rPr>
      </w:pPr>
      <w:bookmarkStart w:id="4" w:name="_GoBack"/>
      <w:bookmarkEnd w:id="4"/>
    </w:p>
    <w:tbl>
      <w:tblPr>
        <w:bidiVisual/>
        <w:tblW w:w="8363" w:type="dxa"/>
        <w:tblLook w:val="01E0" w:firstRow="1" w:lastRow="1" w:firstColumn="1" w:lastColumn="1" w:noHBand="0" w:noVBand="0"/>
      </w:tblPr>
      <w:tblGrid>
        <w:gridCol w:w="2786"/>
        <w:gridCol w:w="2787"/>
        <w:gridCol w:w="2790"/>
      </w:tblGrid>
      <w:tr w:rsidR="00FD51A6" w:rsidTr="00091862">
        <w:tc>
          <w:tcPr>
            <w:tcW w:w="2842" w:type="dxa"/>
            <w:shd w:val="clear" w:color="auto" w:fill="auto"/>
          </w:tcPr>
          <w:p w:rsidR="00FD51A6" w:rsidRDefault="00FD51A6" w:rsidP="00091862">
            <w:pPr>
              <w:pStyle w:val="Ruller40"/>
              <w:rPr>
                <w:rtl/>
              </w:rPr>
            </w:pPr>
          </w:p>
        </w:tc>
        <w:tc>
          <w:tcPr>
            <w:tcW w:w="2843" w:type="dxa"/>
            <w:shd w:val="clear" w:color="auto" w:fill="auto"/>
          </w:tcPr>
          <w:p w:rsidR="00FD51A6" w:rsidRDefault="00FD51A6" w:rsidP="00091862">
            <w:pPr>
              <w:pStyle w:val="Ruller40"/>
              <w:jc w:val="center"/>
              <w:rPr>
                <w:rtl/>
              </w:rPr>
            </w:pPr>
          </w:p>
        </w:tc>
        <w:tc>
          <w:tcPr>
            <w:tcW w:w="2843" w:type="dxa"/>
            <w:shd w:val="clear" w:color="auto" w:fill="auto"/>
          </w:tcPr>
          <w:p w:rsidR="00FD51A6" w:rsidRDefault="00FD51A6" w:rsidP="00091862">
            <w:pPr>
              <w:pStyle w:val="Ruller40"/>
              <w:jc w:val="center"/>
              <w:rPr>
                <w:rtl/>
              </w:rPr>
            </w:pPr>
            <w:r>
              <w:rPr>
                <w:rtl/>
              </w:rPr>
              <w:t>ש ו פ ט ת</w:t>
            </w:r>
          </w:p>
        </w:tc>
      </w:tr>
    </w:tbl>
    <w:p w:rsidR="00FD51A6" w:rsidRDefault="00FD51A6"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Default="00091862" w:rsidP="00FD51A6">
      <w:pPr>
        <w:pStyle w:val="Ruller38"/>
        <w:rPr>
          <w:rtl/>
        </w:rPr>
      </w:pPr>
    </w:p>
    <w:p w:rsidR="00091862" w:rsidRPr="00782291" w:rsidRDefault="00091862" w:rsidP="00FD51A6">
      <w:pPr>
        <w:pStyle w:val="Ruller38"/>
        <w:rPr>
          <w:rtl/>
        </w:rPr>
      </w:pPr>
    </w:p>
    <w:sectPr w:rsidR="00091862" w:rsidRPr="00782291" w:rsidSect="00091862">
      <w:headerReference w:type="even" r:id="rId7"/>
      <w:headerReference w:type="default" r:id="rId8"/>
      <w:footerReference w:type="even" r:id="rId9"/>
      <w:headerReference w:type="first" r:id="rId10"/>
      <w:footerReference w:type="first" r:id="rId11"/>
      <w:endnotePr>
        <w:numFmt w:val="lowerLetter"/>
      </w:endnotePr>
      <w:pgSz w:w="11906" w:h="16838" w:code="9"/>
      <w:pgMar w:top="1134" w:right="1797" w:bottom="1440" w:left="1797" w:header="567" w:footer="39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1862" w:rsidRDefault="00091862">
      <w:r>
        <w:separator/>
      </w:r>
    </w:p>
  </w:endnote>
  <w:endnote w:type="continuationSeparator" w:id="0">
    <w:p w:rsidR="00091862" w:rsidRDefault="000918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Narkisim">
    <w:panose1 w:val="020E05020501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Arial TUR">
    <w:altName w:val="Arial"/>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iriam">
    <w:panose1 w:val="020B0502050101010101"/>
    <w:charset w:val="B1"/>
    <w:family w:val="swiss"/>
    <w:pitch w:val="variable"/>
    <w:sig w:usb0="00000801" w:usb1="00000000" w:usb2="00000000" w:usb3="00000000" w:csb0="00000020"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1862" w:rsidRDefault="00091862">
    <w:pPr>
      <w:pStyle w:val="a3"/>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Pr>
        <w:rStyle w:val="a5"/>
        <w:noProof/>
        <w:rtl/>
      </w:rPr>
      <w:t>1</w:t>
    </w:r>
    <w:r>
      <w:rPr>
        <w:rStyle w:val="a5"/>
        <w:rtl/>
      </w:rPr>
      <w:fldChar w:fldCharType="end"/>
    </w:r>
  </w:p>
  <w:p w:rsidR="00091862" w:rsidRDefault="00091862">
    <w:pPr>
      <w:pStyle w:val="a3"/>
      <w:rPr>
        <w:rtl/>
      </w:rPr>
    </w:pPr>
  </w:p>
  <w:p w:rsidR="00091862" w:rsidRDefault="00091862"/>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1862" w:rsidRPr="00F959DB" w:rsidRDefault="00091862" w:rsidP="00091862">
    <w:pPr>
      <w:pStyle w:val="a3"/>
      <w:bidi w:val="0"/>
      <w:jc w:val="right"/>
      <w:rPr>
        <w:sz w:val="16"/>
        <w:szCs w:val="16"/>
      </w:rPr>
    </w:pPr>
    <w:bookmarkStart w:id="5" w:name="footer_line"/>
    <w:bookmarkEnd w:id="5"/>
  </w:p>
  <w:p w:rsidR="00091862" w:rsidRDefault="00091862">
    <w:pPr>
      <w:pStyle w:val="a3"/>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1862" w:rsidRDefault="00091862">
      <w:r>
        <w:separator/>
      </w:r>
    </w:p>
  </w:footnote>
  <w:footnote w:type="continuationSeparator" w:id="0">
    <w:p w:rsidR="00091862" w:rsidRDefault="000918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1862" w:rsidRDefault="00091862">
    <w:pPr>
      <w:pStyle w:val="a6"/>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Pr>
        <w:rStyle w:val="a5"/>
        <w:noProof/>
        <w:rtl/>
      </w:rPr>
      <w:t>1</w:t>
    </w:r>
    <w:r>
      <w:rPr>
        <w:rStyle w:val="a5"/>
        <w:rtl/>
      </w:rPr>
      <w:fldChar w:fldCharType="end"/>
    </w:r>
  </w:p>
  <w:p w:rsidR="00091862" w:rsidRDefault="00091862">
    <w:pPr>
      <w:pStyle w:val="a6"/>
      <w:rPr>
        <w:rtl/>
      </w:rPr>
    </w:pPr>
  </w:p>
  <w:p w:rsidR="00091862" w:rsidRDefault="00091862"/>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1862" w:rsidRDefault="00091862">
    <w:pPr>
      <w:pStyle w:val="a6"/>
      <w:framePr w:wrap="around" w:vAnchor="text" w:hAnchor="margin" w:xAlign="center" w:y="1"/>
      <w:rPr>
        <w:rStyle w:val="a5"/>
        <w:rtl/>
      </w:rPr>
    </w:pPr>
    <w:r>
      <w:rPr>
        <w:rStyle w:val="a5"/>
        <w:rtl/>
      </w:rPr>
      <w:fldChar w:fldCharType="begin"/>
    </w:r>
    <w:r>
      <w:rPr>
        <w:rStyle w:val="a5"/>
      </w:rPr>
      <w:instrText xml:space="preserve">PAGE  </w:instrText>
    </w:r>
    <w:r>
      <w:rPr>
        <w:rStyle w:val="a5"/>
        <w:rtl/>
      </w:rPr>
      <w:fldChar w:fldCharType="separate"/>
    </w:r>
    <w:r w:rsidR="003024F8">
      <w:rPr>
        <w:rStyle w:val="a5"/>
        <w:noProof/>
        <w:rtl/>
      </w:rPr>
      <w:t>5</w:t>
    </w:r>
    <w:r>
      <w:rPr>
        <w:rStyle w:val="a5"/>
        <w:rtl/>
      </w:rPr>
      <w:fldChar w:fldCharType="end"/>
    </w:r>
  </w:p>
  <w:p w:rsidR="00091862" w:rsidRDefault="00091862">
    <w:pPr>
      <w:pStyle w:val="a6"/>
      <w:rPr>
        <w:rtl/>
      </w:rPr>
    </w:pPr>
  </w:p>
  <w:p w:rsidR="00091862" w:rsidRDefault="00091862"/>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0" w:type="auto"/>
      <w:tblLook w:val="01E0" w:firstRow="1" w:lastRow="1" w:firstColumn="1" w:lastColumn="1" w:noHBand="0" w:noVBand="0"/>
    </w:tblPr>
    <w:tblGrid>
      <w:gridCol w:w="8312"/>
    </w:tblGrid>
    <w:tr w:rsidR="00091862" w:rsidTr="00091862">
      <w:tc>
        <w:tcPr>
          <w:tcW w:w="8312" w:type="dxa"/>
          <w:shd w:val="clear" w:color="auto" w:fill="auto"/>
        </w:tcPr>
        <w:p w:rsidR="00091862" w:rsidRDefault="00091862" w:rsidP="00091862">
          <w:pPr>
            <w:pStyle w:val="a6"/>
            <w:jc w:val="center"/>
            <w:rPr>
              <w:rtl/>
            </w:rPr>
          </w:pPr>
          <w:r w:rsidRPr="00D745E1">
            <w:rPr>
              <w:b/>
              <w:bCs/>
              <w:noProof/>
              <w:sz w:val="16"/>
              <w:szCs w:val="18"/>
              <w:rtl/>
            </w:rPr>
            <w:drawing>
              <wp:inline distT="0" distB="0" distL="0" distR="0" wp14:anchorId="46AD629C" wp14:editId="04ACCB13">
                <wp:extent cx="464820" cy="449580"/>
                <wp:effectExtent l="0" t="0" r="0" b="762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4820" cy="449580"/>
                        </a:xfrm>
                        <a:prstGeom prst="rect">
                          <a:avLst/>
                        </a:prstGeom>
                        <a:noFill/>
                        <a:ln>
                          <a:noFill/>
                        </a:ln>
                      </pic:spPr>
                    </pic:pic>
                  </a:graphicData>
                </a:graphic>
              </wp:inline>
            </w:drawing>
          </w:r>
        </w:p>
      </w:tc>
    </w:tr>
  </w:tbl>
  <w:p w:rsidR="00091862" w:rsidRPr="00FA21B3" w:rsidRDefault="00091862" w:rsidP="00091862">
    <w:pPr>
      <w:pStyle w:val="a6"/>
      <w:rPr>
        <w:szCs w:val="20"/>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B2C9E"/>
    <w:multiLevelType w:val="hybridMultilevel"/>
    <w:tmpl w:val="8D0A4732"/>
    <w:lvl w:ilvl="0" w:tplc="0409000F">
      <w:start w:val="1"/>
      <w:numFmt w:val="decimal"/>
      <w:lvlText w:val="%1."/>
      <w:lvlJc w:val="left"/>
      <w:pPr>
        <w:tabs>
          <w:tab w:val="num" w:pos="720"/>
        </w:tabs>
        <w:ind w:left="720" w:hanging="360"/>
      </w:pPr>
      <w:rPr>
        <w:rFonts w:cs="Times New Roman" w:hint="default"/>
      </w:rPr>
    </w:lvl>
    <w:lvl w:ilvl="1" w:tplc="A81A968E">
      <w:numFmt w:val="bullet"/>
      <w:lvlText w:val=""/>
      <w:lvlJc w:val="left"/>
      <w:pPr>
        <w:tabs>
          <w:tab w:val="num" w:pos="1440"/>
        </w:tabs>
        <w:ind w:left="1440" w:hanging="360"/>
      </w:pPr>
      <w:rPr>
        <w:rFonts w:ascii="Symbol" w:eastAsia="Times New Roman"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8A6001B"/>
    <w:multiLevelType w:val="hybridMultilevel"/>
    <w:tmpl w:val="B2C4B5E4"/>
    <w:lvl w:ilvl="0" w:tplc="D13A1FE6">
      <w:start w:val="1"/>
      <w:numFmt w:val="decimal"/>
      <w:pStyle w:val="Ruller4"/>
      <w:lvlText w:val="%1."/>
      <w:lvlJc w:val="left"/>
      <w:pPr>
        <w:tabs>
          <w:tab w:val="num" w:pos="907"/>
        </w:tabs>
        <w:ind w:left="0" w:firstLine="0"/>
      </w:pPr>
      <w:rPr>
        <w:rFonts w:hint="default"/>
      </w:rPr>
    </w:lvl>
    <w:lvl w:ilvl="1" w:tplc="0884EFE8">
      <w:start w:val="1"/>
      <w:numFmt w:val="lowerLetter"/>
      <w:lvlText w:val="%2."/>
      <w:lvlJc w:val="left"/>
      <w:pPr>
        <w:tabs>
          <w:tab w:val="num" w:pos="1440"/>
        </w:tabs>
        <w:ind w:left="1440" w:hanging="360"/>
      </w:pPr>
    </w:lvl>
    <w:lvl w:ilvl="2" w:tplc="3CBC54F8" w:tentative="1">
      <w:start w:val="1"/>
      <w:numFmt w:val="lowerRoman"/>
      <w:lvlText w:val="%3."/>
      <w:lvlJc w:val="right"/>
      <w:pPr>
        <w:tabs>
          <w:tab w:val="num" w:pos="2160"/>
        </w:tabs>
        <w:ind w:left="2160" w:hanging="180"/>
      </w:pPr>
    </w:lvl>
    <w:lvl w:ilvl="3" w:tplc="3B34B650" w:tentative="1">
      <w:start w:val="1"/>
      <w:numFmt w:val="decimal"/>
      <w:lvlText w:val="%4."/>
      <w:lvlJc w:val="left"/>
      <w:pPr>
        <w:tabs>
          <w:tab w:val="num" w:pos="2880"/>
        </w:tabs>
        <w:ind w:left="2880" w:hanging="360"/>
      </w:pPr>
    </w:lvl>
    <w:lvl w:ilvl="4" w:tplc="8A66E58A" w:tentative="1">
      <w:start w:val="1"/>
      <w:numFmt w:val="lowerLetter"/>
      <w:lvlText w:val="%5."/>
      <w:lvlJc w:val="left"/>
      <w:pPr>
        <w:tabs>
          <w:tab w:val="num" w:pos="3600"/>
        </w:tabs>
        <w:ind w:left="3600" w:hanging="360"/>
      </w:pPr>
    </w:lvl>
    <w:lvl w:ilvl="5" w:tplc="7990F68E" w:tentative="1">
      <w:start w:val="1"/>
      <w:numFmt w:val="lowerRoman"/>
      <w:lvlText w:val="%6."/>
      <w:lvlJc w:val="right"/>
      <w:pPr>
        <w:tabs>
          <w:tab w:val="num" w:pos="4320"/>
        </w:tabs>
        <w:ind w:left="4320" w:hanging="180"/>
      </w:pPr>
    </w:lvl>
    <w:lvl w:ilvl="6" w:tplc="632C110A" w:tentative="1">
      <w:start w:val="1"/>
      <w:numFmt w:val="decimal"/>
      <w:lvlText w:val="%7."/>
      <w:lvlJc w:val="left"/>
      <w:pPr>
        <w:tabs>
          <w:tab w:val="num" w:pos="5040"/>
        </w:tabs>
        <w:ind w:left="5040" w:hanging="360"/>
      </w:pPr>
    </w:lvl>
    <w:lvl w:ilvl="7" w:tplc="219019BA" w:tentative="1">
      <w:start w:val="1"/>
      <w:numFmt w:val="lowerLetter"/>
      <w:lvlText w:val="%8."/>
      <w:lvlJc w:val="left"/>
      <w:pPr>
        <w:tabs>
          <w:tab w:val="num" w:pos="5760"/>
        </w:tabs>
        <w:ind w:left="5760" w:hanging="360"/>
      </w:pPr>
    </w:lvl>
    <w:lvl w:ilvl="8" w:tplc="7228D1E2" w:tentative="1">
      <w:start w:val="1"/>
      <w:numFmt w:val="lowerRoman"/>
      <w:lvlText w:val="%9."/>
      <w:lvlJc w:val="right"/>
      <w:pPr>
        <w:tabs>
          <w:tab w:val="num" w:pos="6480"/>
        </w:tabs>
        <w:ind w:left="6480" w:hanging="180"/>
      </w:pPr>
    </w:lvl>
  </w:abstractNum>
  <w:abstractNum w:abstractNumId="2" w15:restartNumberingAfterBreak="0">
    <w:nsid w:val="4B0B3C7E"/>
    <w:multiLevelType w:val="hybridMultilevel"/>
    <w:tmpl w:val="30F44E2E"/>
    <w:lvl w:ilvl="0" w:tplc="6E923082">
      <w:start w:val="1"/>
      <w:numFmt w:val="decimal"/>
      <w:lvlText w:val="%1."/>
      <w:lvlJc w:val="left"/>
      <w:pPr>
        <w:tabs>
          <w:tab w:val="num" w:pos="720"/>
        </w:tabs>
        <w:ind w:left="720" w:right="720" w:hanging="360"/>
      </w:pPr>
      <w:rPr>
        <w:rFonts w:hint="cs"/>
      </w:r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3" w15:restartNumberingAfterBreak="0">
    <w:nsid w:val="58D079D4"/>
    <w:multiLevelType w:val="hybridMultilevel"/>
    <w:tmpl w:val="FC1C4D74"/>
    <w:lvl w:ilvl="0" w:tplc="322419CC">
      <w:start w:val="1"/>
      <w:numFmt w:val="hebrew1"/>
      <w:lvlText w:val="%1."/>
      <w:lvlJc w:val="left"/>
      <w:pPr>
        <w:tabs>
          <w:tab w:val="num" w:pos="1080"/>
        </w:tabs>
        <w:ind w:left="1080" w:right="1080" w:hanging="360"/>
      </w:pPr>
      <w:rPr>
        <w:rFonts w:hint="cs"/>
      </w:rPr>
    </w:lvl>
    <w:lvl w:ilvl="1" w:tplc="040D0019" w:tentative="1">
      <w:start w:val="1"/>
      <w:numFmt w:val="lowerLetter"/>
      <w:lvlText w:val="%2."/>
      <w:lvlJc w:val="left"/>
      <w:pPr>
        <w:tabs>
          <w:tab w:val="num" w:pos="1800"/>
        </w:tabs>
        <w:ind w:left="1800" w:right="1800" w:hanging="360"/>
      </w:pPr>
    </w:lvl>
    <w:lvl w:ilvl="2" w:tplc="040D001B" w:tentative="1">
      <w:start w:val="1"/>
      <w:numFmt w:val="lowerRoman"/>
      <w:lvlText w:val="%3."/>
      <w:lvlJc w:val="right"/>
      <w:pPr>
        <w:tabs>
          <w:tab w:val="num" w:pos="2520"/>
        </w:tabs>
        <w:ind w:left="2520" w:right="2520" w:hanging="180"/>
      </w:pPr>
    </w:lvl>
    <w:lvl w:ilvl="3" w:tplc="040D000F" w:tentative="1">
      <w:start w:val="1"/>
      <w:numFmt w:val="decimal"/>
      <w:lvlText w:val="%4."/>
      <w:lvlJc w:val="left"/>
      <w:pPr>
        <w:tabs>
          <w:tab w:val="num" w:pos="3240"/>
        </w:tabs>
        <w:ind w:left="3240" w:right="3240" w:hanging="360"/>
      </w:pPr>
    </w:lvl>
    <w:lvl w:ilvl="4" w:tplc="040D0019" w:tentative="1">
      <w:start w:val="1"/>
      <w:numFmt w:val="lowerLetter"/>
      <w:lvlText w:val="%5."/>
      <w:lvlJc w:val="left"/>
      <w:pPr>
        <w:tabs>
          <w:tab w:val="num" w:pos="3960"/>
        </w:tabs>
        <w:ind w:left="3960" w:right="3960" w:hanging="360"/>
      </w:pPr>
    </w:lvl>
    <w:lvl w:ilvl="5" w:tplc="040D001B" w:tentative="1">
      <w:start w:val="1"/>
      <w:numFmt w:val="lowerRoman"/>
      <w:lvlText w:val="%6."/>
      <w:lvlJc w:val="right"/>
      <w:pPr>
        <w:tabs>
          <w:tab w:val="num" w:pos="4680"/>
        </w:tabs>
        <w:ind w:left="4680" w:right="4680" w:hanging="180"/>
      </w:pPr>
    </w:lvl>
    <w:lvl w:ilvl="6" w:tplc="040D000F" w:tentative="1">
      <w:start w:val="1"/>
      <w:numFmt w:val="decimal"/>
      <w:lvlText w:val="%7."/>
      <w:lvlJc w:val="left"/>
      <w:pPr>
        <w:tabs>
          <w:tab w:val="num" w:pos="5400"/>
        </w:tabs>
        <w:ind w:left="5400" w:right="5400" w:hanging="360"/>
      </w:pPr>
    </w:lvl>
    <w:lvl w:ilvl="7" w:tplc="040D0019" w:tentative="1">
      <w:start w:val="1"/>
      <w:numFmt w:val="lowerLetter"/>
      <w:lvlText w:val="%8."/>
      <w:lvlJc w:val="left"/>
      <w:pPr>
        <w:tabs>
          <w:tab w:val="num" w:pos="6120"/>
        </w:tabs>
        <w:ind w:left="6120" w:right="6120" w:hanging="360"/>
      </w:pPr>
    </w:lvl>
    <w:lvl w:ilvl="8" w:tplc="040D001B" w:tentative="1">
      <w:start w:val="1"/>
      <w:numFmt w:val="lowerRoman"/>
      <w:lvlText w:val="%9."/>
      <w:lvlJc w:val="right"/>
      <w:pPr>
        <w:tabs>
          <w:tab w:val="num" w:pos="6840"/>
        </w:tabs>
        <w:ind w:left="6840" w:right="6840" w:hanging="180"/>
      </w:pPr>
    </w:lvl>
  </w:abstractNum>
  <w:abstractNum w:abstractNumId="4" w15:restartNumberingAfterBreak="0">
    <w:nsid w:val="73717E1F"/>
    <w:multiLevelType w:val="hybridMultilevel"/>
    <w:tmpl w:val="127434B2"/>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1"/>
  <w:proofState w:spelling="clean"/>
  <w:defaultTabStop w:val="720"/>
  <w:characterSpacingControl w:val="doNotCompres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080"/>
    <w:rsid w:val="00002AC3"/>
    <w:rsid w:val="00091862"/>
    <w:rsid w:val="003024F8"/>
    <w:rsid w:val="003B3D74"/>
    <w:rsid w:val="0088602A"/>
    <w:rsid w:val="00E2322B"/>
    <w:rsid w:val="00F67080"/>
    <w:rsid w:val="00FD51A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08526"/>
  <w15:chartTrackingRefBased/>
  <w15:docId w15:val="{30307795-92E2-4B0F-B744-C324713E1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51A6"/>
    <w:pPr>
      <w:overflowPunct w:val="0"/>
      <w:autoSpaceDE w:val="0"/>
      <w:autoSpaceDN w:val="0"/>
      <w:bidi/>
      <w:adjustRightInd w:val="0"/>
      <w:spacing w:after="0" w:line="240" w:lineRule="auto"/>
      <w:textAlignment w:val="baseline"/>
    </w:pPr>
    <w:rPr>
      <w:rFonts w:ascii="Times New Roman" w:eastAsia="Times New Roman" w:hAnsi="Times New Roman" w:cs="David"/>
      <w:sz w:val="20"/>
      <w:szCs w:val="24"/>
    </w:rPr>
  </w:style>
  <w:style w:type="paragraph" w:styleId="1">
    <w:name w:val="heading 1"/>
    <w:basedOn w:val="a"/>
    <w:next w:val="a"/>
    <w:link w:val="10"/>
    <w:qFormat/>
    <w:rsid w:val="003B3D74"/>
    <w:pPr>
      <w:keepNext/>
      <w:overflowPunct/>
      <w:autoSpaceDE/>
      <w:autoSpaceDN/>
      <w:adjustRightInd/>
      <w:spacing w:line="360" w:lineRule="auto"/>
      <w:jc w:val="center"/>
      <w:textAlignment w:val="auto"/>
      <w:outlineLvl w:val="0"/>
    </w:pPr>
    <w:rPr>
      <w:b/>
      <w:bCs/>
      <w:noProof/>
      <w:sz w:val="32"/>
      <w:szCs w:val="32"/>
      <w:u w:val="single"/>
      <w:lang w:eastAsia="he-IL"/>
    </w:rPr>
  </w:style>
  <w:style w:type="paragraph" w:styleId="2">
    <w:name w:val="heading 2"/>
    <w:basedOn w:val="a"/>
    <w:next w:val="a"/>
    <w:link w:val="20"/>
    <w:qFormat/>
    <w:rsid w:val="003B3D74"/>
    <w:pPr>
      <w:keepNext/>
      <w:overflowPunct/>
      <w:autoSpaceDE/>
      <w:autoSpaceDN/>
      <w:adjustRightInd/>
      <w:spacing w:before="240" w:after="60" w:line="360" w:lineRule="auto"/>
      <w:jc w:val="center"/>
      <w:textAlignment w:val="auto"/>
      <w:outlineLvl w:val="1"/>
    </w:pPr>
    <w:rPr>
      <w:rFonts w:ascii="Arial"/>
      <w:b/>
      <w:bCs/>
      <w:snapToGrid w:val="0"/>
      <w:sz w:val="24"/>
      <w:szCs w:val="28"/>
      <w:u w:val="single"/>
      <w:lang w:eastAsia="he-IL"/>
    </w:rPr>
  </w:style>
  <w:style w:type="paragraph" w:styleId="3">
    <w:name w:val="heading 3"/>
    <w:basedOn w:val="a"/>
    <w:next w:val="a"/>
    <w:link w:val="30"/>
    <w:qFormat/>
    <w:rsid w:val="003B3D74"/>
    <w:pPr>
      <w:keepNext/>
      <w:overflowPunct/>
      <w:autoSpaceDE/>
      <w:autoSpaceDN/>
      <w:adjustRightInd/>
      <w:spacing w:line="360" w:lineRule="auto"/>
      <w:jc w:val="both"/>
      <w:textAlignment w:val="auto"/>
      <w:outlineLvl w:val="2"/>
    </w:pPr>
    <w:rPr>
      <w:b/>
      <w:bCs/>
      <w:noProof/>
      <w:lang w:eastAsia="he-IL"/>
    </w:rPr>
  </w:style>
  <w:style w:type="paragraph" w:styleId="4">
    <w:name w:val="heading 4"/>
    <w:basedOn w:val="a"/>
    <w:next w:val="a"/>
    <w:link w:val="40"/>
    <w:qFormat/>
    <w:rsid w:val="003B3D74"/>
    <w:pPr>
      <w:keepNext/>
      <w:overflowPunct/>
      <w:autoSpaceDE/>
      <w:autoSpaceDN/>
      <w:adjustRightInd/>
      <w:ind w:left="5760" w:firstLine="720"/>
      <w:textAlignment w:val="auto"/>
      <w:outlineLvl w:val="3"/>
    </w:pPr>
    <w:rPr>
      <w:rFonts w:cs="Narkisim"/>
      <w:b/>
      <w:bCs/>
      <w:noProo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uller3">
    <w:name w:val="Ruller 3"/>
    <w:basedOn w:val="a"/>
    <w:rsid w:val="00FD51A6"/>
    <w:pPr>
      <w:tabs>
        <w:tab w:val="left" w:pos="3210"/>
        <w:tab w:val="left" w:pos="6753"/>
      </w:tabs>
      <w:spacing w:line="360" w:lineRule="auto"/>
    </w:pPr>
    <w:rPr>
      <w:rFonts w:cs="FrankRuehl"/>
      <w:spacing w:val="10"/>
      <w:sz w:val="22"/>
      <w:szCs w:val="28"/>
    </w:rPr>
  </w:style>
  <w:style w:type="paragraph" w:customStyle="1" w:styleId="FileNumber">
    <w:name w:val="File Number"/>
    <w:basedOn w:val="a"/>
    <w:rsid w:val="00FD51A6"/>
    <w:pPr>
      <w:spacing w:line="360" w:lineRule="auto"/>
      <w:jc w:val="right"/>
    </w:pPr>
    <w:rPr>
      <w:bCs/>
    </w:rPr>
  </w:style>
  <w:style w:type="paragraph" w:customStyle="1" w:styleId="DocumentHead">
    <w:name w:val="Document Head"/>
    <w:basedOn w:val="a"/>
    <w:rsid w:val="00FD51A6"/>
    <w:pPr>
      <w:spacing w:line="360" w:lineRule="auto"/>
      <w:jc w:val="center"/>
    </w:pPr>
    <w:rPr>
      <w:bCs/>
      <w:spacing w:val="30"/>
      <w:szCs w:val="28"/>
      <w:u w:val="single"/>
    </w:rPr>
  </w:style>
  <w:style w:type="paragraph" w:customStyle="1" w:styleId="Ruller40">
    <w:name w:val="Ruller4"/>
    <w:basedOn w:val="a"/>
    <w:link w:val="Ruller41"/>
    <w:rsid w:val="00FD51A6"/>
    <w:pPr>
      <w:tabs>
        <w:tab w:val="left" w:pos="800"/>
      </w:tabs>
      <w:spacing w:line="360" w:lineRule="auto"/>
      <w:jc w:val="both"/>
    </w:pPr>
    <w:rPr>
      <w:rFonts w:ascii="Arial TUR" w:hAnsi="Arial TUR" w:cs="FrankRuehl"/>
      <w:spacing w:val="10"/>
      <w:sz w:val="22"/>
      <w:szCs w:val="28"/>
    </w:rPr>
  </w:style>
  <w:style w:type="paragraph" w:customStyle="1" w:styleId="Ruller5">
    <w:name w:val="Ruller5"/>
    <w:basedOn w:val="a"/>
    <w:rsid w:val="00FD51A6"/>
    <w:pPr>
      <w:ind w:left="1642" w:right="1282"/>
      <w:jc w:val="both"/>
    </w:pPr>
    <w:rPr>
      <w:rFonts w:ascii="Arial TUR" w:hAnsi="Arial TUR" w:cs="FrankRuehl"/>
      <w:spacing w:val="10"/>
      <w:sz w:val="22"/>
      <w:szCs w:val="28"/>
    </w:rPr>
  </w:style>
  <w:style w:type="paragraph" w:styleId="a3">
    <w:name w:val="footer"/>
    <w:basedOn w:val="a"/>
    <w:link w:val="a4"/>
    <w:rsid w:val="00FD51A6"/>
    <w:pPr>
      <w:tabs>
        <w:tab w:val="center" w:pos="4153"/>
        <w:tab w:val="right" w:pos="8306"/>
      </w:tabs>
    </w:pPr>
  </w:style>
  <w:style w:type="character" w:customStyle="1" w:styleId="a4">
    <w:name w:val="כותרת תחתונה תו"/>
    <w:basedOn w:val="a0"/>
    <w:link w:val="a3"/>
    <w:rsid w:val="00FD51A6"/>
    <w:rPr>
      <w:rFonts w:ascii="Times New Roman" w:eastAsia="Times New Roman" w:hAnsi="Times New Roman" w:cs="David"/>
      <w:sz w:val="20"/>
      <w:szCs w:val="24"/>
    </w:rPr>
  </w:style>
  <w:style w:type="character" w:styleId="a5">
    <w:name w:val="page number"/>
    <w:basedOn w:val="a0"/>
    <w:rsid w:val="00FD51A6"/>
  </w:style>
  <w:style w:type="paragraph" w:styleId="a6">
    <w:name w:val="header"/>
    <w:basedOn w:val="a"/>
    <w:link w:val="a7"/>
    <w:rsid w:val="00FD51A6"/>
    <w:pPr>
      <w:tabs>
        <w:tab w:val="center" w:pos="4153"/>
        <w:tab w:val="right" w:pos="8306"/>
      </w:tabs>
    </w:pPr>
  </w:style>
  <w:style w:type="character" w:customStyle="1" w:styleId="a7">
    <w:name w:val="כותרת עליונה תו"/>
    <w:basedOn w:val="a0"/>
    <w:link w:val="a6"/>
    <w:rsid w:val="00FD51A6"/>
    <w:rPr>
      <w:rFonts w:ascii="Times New Roman" w:eastAsia="Times New Roman" w:hAnsi="Times New Roman" w:cs="David"/>
      <w:sz w:val="20"/>
      <w:szCs w:val="24"/>
    </w:rPr>
  </w:style>
  <w:style w:type="paragraph" w:customStyle="1" w:styleId="BodyRuller">
    <w:name w:val="Body Ruller"/>
    <w:basedOn w:val="a"/>
    <w:rsid w:val="00FD51A6"/>
    <w:rPr>
      <w:sz w:val="22"/>
      <w:szCs w:val="28"/>
    </w:rPr>
  </w:style>
  <w:style w:type="paragraph" w:customStyle="1" w:styleId="Ruller38">
    <w:name w:val="סגנון Ruller 3 + (מורכב) ‏8 נק"/>
    <w:basedOn w:val="BodyRuller"/>
    <w:rsid w:val="00FD51A6"/>
    <w:rPr>
      <w:szCs w:val="16"/>
    </w:rPr>
  </w:style>
  <w:style w:type="paragraph" w:customStyle="1" w:styleId="FileNumber0">
    <w:name w:val="סגנון File Number + ימין"/>
    <w:basedOn w:val="FileNumber"/>
    <w:rsid w:val="00FD51A6"/>
    <w:pPr>
      <w:jc w:val="left"/>
    </w:pPr>
    <w:rPr>
      <w:szCs w:val="28"/>
    </w:rPr>
  </w:style>
  <w:style w:type="paragraph" w:customStyle="1" w:styleId="BODYVERDICT">
    <w:name w:val="BODY VERDICT"/>
    <w:basedOn w:val="a"/>
    <w:rsid w:val="00FD51A6"/>
    <w:rPr>
      <w:rFonts w:cs="FrankRuehl"/>
      <w:spacing w:val="10"/>
      <w:sz w:val="22"/>
      <w:szCs w:val="28"/>
    </w:rPr>
  </w:style>
  <w:style w:type="character" w:styleId="Hyperlink">
    <w:name w:val="Hyperlink"/>
    <w:rsid w:val="00FD51A6"/>
    <w:rPr>
      <w:color w:val="0000FF"/>
      <w:u w:val="single"/>
    </w:rPr>
  </w:style>
  <w:style w:type="paragraph" w:customStyle="1" w:styleId="Ruller4">
    <w:name w:val="Ruller 4 ממוספר"/>
    <w:basedOn w:val="Ruller40"/>
    <w:next w:val="Ruller40"/>
    <w:link w:val="Ruller42"/>
    <w:rsid w:val="00FD51A6"/>
    <w:pPr>
      <w:numPr>
        <w:numId w:val="1"/>
      </w:numPr>
      <w:tabs>
        <w:tab w:val="clear" w:pos="907"/>
        <w:tab w:val="num" w:pos="360"/>
      </w:tabs>
    </w:pPr>
    <w:rPr>
      <w:rFonts w:ascii="Garamond" w:hAnsi="Garamond"/>
      <w:sz w:val="24"/>
    </w:rPr>
  </w:style>
  <w:style w:type="character" w:customStyle="1" w:styleId="Ruller42">
    <w:name w:val="Ruller 4 ממוספר תו"/>
    <w:link w:val="Ruller4"/>
    <w:locked/>
    <w:rsid w:val="00FD51A6"/>
    <w:rPr>
      <w:rFonts w:ascii="Garamond" w:eastAsia="Times New Roman" w:hAnsi="Garamond" w:cs="FrankRuehl"/>
      <w:spacing w:val="10"/>
      <w:sz w:val="24"/>
      <w:szCs w:val="28"/>
    </w:rPr>
  </w:style>
  <w:style w:type="character" w:customStyle="1" w:styleId="Ruller41">
    <w:name w:val="Ruller4 תו"/>
    <w:link w:val="Ruller40"/>
    <w:locked/>
    <w:rsid w:val="00FD51A6"/>
    <w:rPr>
      <w:rFonts w:ascii="Arial TUR" w:eastAsia="Times New Roman" w:hAnsi="Arial TUR" w:cs="FrankRuehl"/>
      <w:spacing w:val="10"/>
      <w:szCs w:val="28"/>
    </w:rPr>
  </w:style>
  <w:style w:type="character" w:customStyle="1" w:styleId="10">
    <w:name w:val="כותרת 1 תו"/>
    <w:basedOn w:val="a0"/>
    <w:link w:val="1"/>
    <w:rsid w:val="003B3D74"/>
    <w:rPr>
      <w:rFonts w:ascii="Times New Roman" w:eastAsia="Times New Roman" w:hAnsi="Times New Roman" w:cs="David"/>
      <w:b/>
      <w:bCs/>
      <w:noProof/>
      <w:sz w:val="32"/>
      <w:szCs w:val="32"/>
      <w:u w:val="single"/>
      <w:lang w:eastAsia="he-IL"/>
    </w:rPr>
  </w:style>
  <w:style w:type="character" w:customStyle="1" w:styleId="20">
    <w:name w:val="כותרת 2 תו"/>
    <w:basedOn w:val="a0"/>
    <w:link w:val="2"/>
    <w:rsid w:val="003B3D74"/>
    <w:rPr>
      <w:rFonts w:ascii="Arial" w:eastAsia="Times New Roman" w:hAnsi="Times New Roman" w:cs="David"/>
      <w:b/>
      <w:bCs/>
      <w:snapToGrid w:val="0"/>
      <w:sz w:val="24"/>
      <w:szCs w:val="28"/>
      <w:u w:val="single"/>
      <w:lang w:eastAsia="he-IL"/>
    </w:rPr>
  </w:style>
  <w:style w:type="character" w:customStyle="1" w:styleId="30">
    <w:name w:val="כותרת 3 תו"/>
    <w:basedOn w:val="a0"/>
    <w:link w:val="3"/>
    <w:rsid w:val="003B3D74"/>
    <w:rPr>
      <w:rFonts w:ascii="Times New Roman" w:eastAsia="Times New Roman" w:hAnsi="Times New Roman" w:cs="David"/>
      <w:b/>
      <w:bCs/>
      <w:noProof/>
      <w:sz w:val="20"/>
      <w:szCs w:val="24"/>
      <w:lang w:eastAsia="he-IL"/>
    </w:rPr>
  </w:style>
  <w:style w:type="character" w:customStyle="1" w:styleId="40">
    <w:name w:val="כותרת 4 תו"/>
    <w:basedOn w:val="a0"/>
    <w:link w:val="4"/>
    <w:rsid w:val="003B3D74"/>
    <w:rPr>
      <w:rFonts w:ascii="Times New Roman" w:eastAsia="Times New Roman" w:hAnsi="Times New Roman" w:cs="Narkisim"/>
      <w:b/>
      <w:bCs/>
      <w:noProof/>
      <w:sz w:val="24"/>
      <w:szCs w:val="24"/>
    </w:rPr>
  </w:style>
  <w:style w:type="paragraph" w:customStyle="1" w:styleId="a8">
    <w:name w:val="שמות"/>
    <w:basedOn w:val="a"/>
    <w:rsid w:val="003B3D74"/>
    <w:pPr>
      <w:suppressLineNumbers/>
      <w:overflowPunct/>
      <w:autoSpaceDE/>
      <w:autoSpaceDN/>
      <w:adjustRightInd/>
      <w:spacing w:line="360" w:lineRule="auto"/>
      <w:jc w:val="both"/>
      <w:textAlignment w:val="auto"/>
    </w:pPr>
    <w:rPr>
      <w:b/>
      <w:bCs/>
      <w:snapToGrid w:val="0"/>
      <w:sz w:val="22"/>
      <w:lang w:eastAsia="he-IL"/>
    </w:rPr>
  </w:style>
  <w:style w:type="character" w:styleId="a9">
    <w:name w:val="line number"/>
    <w:basedOn w:val="a0"/>
    <w:rsid w:val="003B3D74"/>
  </w:style>
  <w:style w:type="paragraph" w:styleId="aa">
    <w:name w:val="Body Text"/>
    <w:basedOn w:val="a"/>
    <w:link w:val="ab"/>
    <w:rsid w:val="003B3D74"/>
    <w:pPr>
      <w:overflowPunct/>
      <w:autoSpaceDE/>
      <w:autoSpaceDN/>
      <w:adjustRightInd/>
      <w:spacing w:line="360" w:lineRule="auto"/>
      <w:jc w:val="both"/>
      <w:textAlignment w:val="auto"/>
    </w:pPr>
    <w:rPr>
      <w:noProof/>
      <w:lang w:eastAsia="he-IL"/>
    </w:rPr>
  </w:style>
  <w:style w:type="character" w:customStyle="1" w:styleId="ab">
    <w:name w:val="גוף טקסט תו"/>
    <w:basedOn w:val="a0"/>
    <w:link w:val="aa"/>
    <w:rsid w:val="003B3D74"/>
    <w:rPr>
      <w:rFonts w:ascii="Times New Roman" w:eastAsia="Times New Roman" w:hAnsi="Times New Roman" w:cs="David"/>
      <w:noProof/>
      <w:sz w:val="20"/>
      <w:szCs w:val="24"/>
      <w:lang w:eastAsia="he-IL"/>
    </w:rPr>
  </w:style>
  <w:style w:type="paragraph" w:styleId="ac">
    <w:name w:val="Signature"/>
    <w:basedOn w:val="2"/>
    <w:link w:val="ad"/>
    <w:rsid w:val="003B3D74"/>
    <w:pPr>
      <w:suppressLineNumbers/>
    </w:pPr>
    <w:rPr>
      <w:rFonts w:hAnsi="Arial"/>
      <w:bCs w:val="0"/>
      <w:szCs w:val="24"/>
    </w:rPr>
  </w:style>
  <w:style w:type="character" w:customStyle="1" w:styleId="ad">
    <w:name w:val="חתימה תו"/>
    <w:basedOn w:val="a0"/>
    <w:link w:val="ac"/>
    <w:rsid w:val="003B3D74"/>
    <w:rPr>
      <w:rFonts w:ascii="Arial" w:eastAsia="Times New Roman" w:hAnsi="Arial" w:cs="David"/>
      <w:b/>
      <w:snapToGrid w:val="0"/>
      <w:sz w:val="24"/>
      <w:szCs w:val="24"/>
      <w:u w:val="single"/>
      <w:lang w:eastAsia="he-IL"/>
    </w:rPr>
  </w:style>
  <w:style w:type="paragraph" w:customStyle="1" w:styleId="ae">
    <w:name w:val="החלטה"/>
    <w:basedOn w:val="a"/>
    <w:rsid w:val="003B3D74"/>
    <w:pPr>
      <w:suppressLineNumbers/>
      <w:overflowPunct/>
      <w:autoSpaceDE/>
      <w:autoSpaceDN/>
      <w:adjustRightInd/>
      <w:textAlignment w:val="auto"/>
    </w:pPr>
    <w:rPr>
      <w:bCs/>
      <w:snapToGrid w:val="0"/>
      <w:lang w:eastAsia="he-IL"/>
    </w:rPr>
  </w:style>
  <w:style w:type="paragraph" w:customStyle="1" w:styleId="af">
    <w:name w:val="חקירה"/>
    <w:basedOn w:val="a"/>
    <w:rsid w:val="003B3D74"/>
    <w:pPr>
      <w:suppressLineNumbers/>
      <w:overflowPunct/>
      <w:autoSpaceDE/>
      <w:autoSpaceDN/>
      <w:adjustRightInd/>
      <w:textAlignment w:val="auto"/>
    </w:pPr>
    <w:rPr>
      <w:snapToGrid w:val="0"/>
      <w:lang w:eastAsia="he-IL"/>
    </w:rPr>
  </w:style>
  <w:style w:type="table" w:styleId="af0">
    <w:name w:val="Table Grid"/>
    <w:basedOn w:val="a1"/>
    <w:rsid w:val="003B3D74"/>
    <w:pPr>
      <w:bidi/>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ig-number">
    <w:name w:val="big-number"/>
    <w:basedOn w:val="a0"/>
    <w:rsid w:val="003B3D74"/>
    <w:rPr>
      <w:rFonts w:ascii="Times New Roman" w:hAnsi="Times New Roman" w:cs="Times New Roman"/>
    </w:rPr>
  </w:style>
  <w:style w:type="character" w:customStyle="1" w:styleId="default">
    <w:name w:val="default"/>
    <w:basedOn w:val="a0"/>
    <w:rsid w:val="003B3D74"/>
    <w:rPr>
      <w:rFonts w:ascii="Times New Roman" w:hAnsi="Times New Roman" w:cs="Times New Roman"/>
    </w:rPr>
  </w:style>
  <w:style w:type="paragraph" w:customStyle="1" w:styleId="p00">
    <w:name w:val="p00"/>
    <w:basedOn w:val="a"/>
    <w:rsid w:val="003B3D74"/>
    <w:pPr>
      <w:overflowPunct/>
      <w:adjustRightInd/>
      <w:spacing w:before="60"/>
      <w:ind w:left="2835"/>
      <w:jc w:val="both"/>
      <w:textAlignment w:val="auto"/>
    </w:pPr>
    <w:rPr>
      <w:rFonts w:cs="Times New Roman"/>
      <w:szCs w:val="20"/>
    </w:rPr>
  </w:style>
  <w:style w:type="paragraph" w:customStyle="1" w:styleId="af1">
    <w:name w:val="סעיפים"/>
    <w:basedOn w:val="a"/>
    <w:rsid w:val="003B3D74"/>
    <w:pPr>
      <w:tabs>
        <w:tab w:val="left" w:pos="567"/>
        <w:tab w:val="left" w:pos="1134"/>
        <w:tab w:val="left" w:pos="1701"/>
        <w:tab w:val="left" w:pos="2268"/>
        <w:tab w:val="left" w:pos="2835"/>
        <w:tab w:val="left" w:pos="3402"/>
        <w:tab w:val="left" w:pos="3969"/>
      </w:tabs>
      <w:overflowPunct/>
      <w:autoSpaceDE/>
      <w:autoSpaceDN/>
      <w:adjustRightInd/>
      <w:spacing w:line="360" w:lineRule="auto"/>
      <w:jc w:val="both"/>
      <w:textAlignment w:val="auto"/>
    </w:pPr>
    <w:rPr>
      <w:sz w:val="24"/>
    </w:rPr>
  </w:style>
  <w:style w:type="paragraph" w:styleId="af2">
    <w:name w:val="annotation text"/>
    <w:basedOn w:val="a"/>
    <w:link w:val="af3"/>
    <w:semiHidden/>
    <w:rsid w:val="003B3D74"/>
    <w:pPr>
      <w:overflowPunct/>
      <w:autoSpaceDE/>
      <w:autoSpaceDN/>
      <w:adjustRightInd/>
      <w:textAlignment w:val="auto"/>
    </w:pPr>
    <w:rPr>
      <w:rFonts w:cs="Times New Roman"/>
      <w:sz w:val="24"/>
    </w:rPr>
  </w:style>
  <w:style w:type="character" w:customStyle="1" w:styleId="af3">
    <w:name w:val="טקסט הערה תו"/>
    <w:basedOn w:val="a0"/>
    <w:link w:val="af2"/>
    <w:semiHidden/>
    <w:rsid w:val="003B3D74"/>
    <w:rPr>
      <w:rFonts w:ascii="Times New Roman" w:eastAsia="Times New Roman" w:hAnsi="Times New Roman" w:cs="Times New Roman"/>
      <w:sz w:val="24"/>
      <w:szCs w:val="24"/>
    </w:rPr>
  </w:style>
  <w:style w:type="character" w:styleId="af4">
    <w:name w:val="annotation reference"/>
    <w:basedOn w:val="a0"/>
    <w:semiHidden/>
    <w:rsid w:val="003B3D74"/>
    <w:rPr>
      <w:rFonts w:cs="Times New Roman"/>
      <w:sz w:val="16"/>
      <w:szCs w:val="16"/>
    </w:rPr>
  </w:style>
  <w:style w:type="paragraph" w:styleId="af5">
    <w:name w:val="Balloon Text"/>
    <w:basedOn w:val="a"/>
    <w:link w:val="af6"/>
    <w:semiHidden/>
    <w:rsid w:val="003B3D74"/>
    <w:pPr>
      <w:overflowPunct/>
      <w:autoSpaceDE/>
      <w:autoSpaceDN/>
      <w:adjustRightInd/>
      <w:textAlignment w:val="auto"/>
    </w:pPr>
    <w:rPr>
      <w:rFonts w:ascii="Tahoma" w:hAnsi="Tahoma" w:cs="Tahoma"/>
      <w:noProof/>
      <w:sz w:val="16"/>
      <w:szCs w:val="16"/>
    </w:rPr>
  </w:style>
  <w:style w:type="character" w:customStyle="1" w:styleId="af6">
    <w:name w:val="טקסט בלונים תו"/>
    <w:basedOn w:val="a0"/>
    <w:link w:val="af5"/>
    <w:semiHidden/>
    <w:rsid w:val="003B3D74"/>
    <w:rPr>
      <w:rFonts w:ascii="Tahoma" w:eastAsia="Times New Roman" w:hAnsi="Tahoma" w:cs="Tahoma"/>
      <w:noProof/>
      <w:sz w:val="16"/>
      <w:szCs w:val="16"/>
    </w:rPr>
  </w:style>
  <w:style w:type="table" w:customStyle="1" w:styleId="11">
    <w:name w:val="טבלת רשת1"/>
    <w:rsid w:val="003B3D74"/>
    <w:pPr>
      <w:spacing w:after="0" w:line="240" w:lineRule="auto"/>
      <w:jc w:val="righ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2">
    <w:name w:val="טקסט מציין מיקום1"/>
    <w:basedOn w:val="a0"/>
    <w:semiHidden/>
    <w:rsid w:val="003B3D74"/>
    <w:rPr>
      <w:rFonts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1237</Words>
  <Characters>6190</Characters>
  <Application>Microsoft Office Word</Application>
  <DocSecurity>0</DocSecurity>
  <Lines>51</Lines>
  <Paragraphs>14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4</cp:revision>
  <dcterms:created xsi:type="dcterms:W3CDTF">2022-06-01T05:47:00Z</dcterms:created>
  <dcterms:modified xsi:type="dcterms:W3CDTF">2022-06-16T08:06:00Z</dcterms:modified>
</cp:coreProperties>
</file>