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D5CC4" w:rsidRDefault="008D5CC4" w:rsidP="008D5CC4">
      <w:pPr>
        <w:pStyle w:val="a4"/>
        <w:jc w:val="center"/>
        <w:rPr>
          <w:rFonts w:cs="FrankRuehl"/>
          <w:noProof w:val="0"/>
          <w:sz w:val="28"/>
          <w:szCs w:val="28"/>
          <w:rtl/>
        </w:rPr>
      </w:pPr>
      <w:r>
        <w:rPr>
          <w:rFonts w:cs="FrankRuehl"/>
          <w:sz w:val="28"/>
          <w:szCs w:val="28"/>
        </w:rPr>
        <w:drawing>
          <wp:inline distT="0" distB="0" distL="0" distR="0" wp14:anchorId="6E565880" wp14:editId="018E1480">
            <wp:extent cx="374015" cy="469265"/>
            <wp:effectExtent l="0" t="0" r="6985" b="6985"/>
            <wp:docPr id="2" name="Picture 1" descr="ישראל - המנורה -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ישראל - המנורה - 2"/>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374015" cy="469265"/>
                    </a:xfrm>
                    <a:prstGeom prst="rect">
                      <a:avLst/>
                    </a:prstGeom>
                    <a:noFill/>
                    <a:ln>
                      <a:noFill/>
                    </a:ln>
                  </pic:spPr>
                </pic:pic>
              </a:graphicData>
            </a:graphic>
          </wp:inline>
        </w:drawing>
      </w:r>
    </w:p>
    <w:tbl>
      <w:tblPr>
        <w:bidiVisual/>
        <w:tblW w:w="0" w:type="auto"/>
        <w:jc w:val="center"/>
        <w:tblLook w:val="0000" w:firstRow="0" w:lastRow="0" w:firstColumn="0" w:lastColumn="0" w:noHBand="0" w:noVBand="0"/>
      </w:tblPr>
      <w:tblGrid>
        <w:gridCol w:w="4809"/>
        <w:gridCol w:w="3497"/>
      </w:tblGrid>
      <w:tr w:rsidR="008D5CC4" w:rsidTr="008D5CC4">
        <w:trPr>
          <w:trHeight w:hRule="exact" w:val="704"/>
          <w:jc w:val="center"/>
        </w:trPr>
        <w:sdt>
          <w:sdtPr>
            <w:rPr>
              <w:rFonts w:ascii="Tahoma" w:hAnsi="Tahoma"/>
              <w:color w:val="000080"/>
              <w:sz w:val="32"/>
              <w:szCs w:val="32"/>
              <w:rtl/>
            </w:rPr>
            <w:alias w:val="1174"/>
            <w:tag w:val="1174"/>
            <w:id w:val="-1585920285"/>
            <w:text w:multiLine="1"/>
          </w:sdtPr>
          <w:sdtContent>
            <w:tc>
              <w:tcPr>
                <w:tcW w:w="8721" w:type="dxa"/>
                <w:gridSpan w:val="2"/>
              </w:tcPr>
              <w:p w:rsidR="008D5CC4" w:rsidRPr="00F038D8" w:rsidRDefault="008D5CC4" w:rsidP="008D5CC4">
                <w:pPr>
                  <w:pStyle w:val="a4"/>
                  <w:jc w:val="center"/>
                  <w:rPr>
                    <w:rFonts w:ascii="Tahoma" w:hAnsi="Tahoma"/>
                    <w:noProof w:val="0"/>
                    <w:color w:val="000080"/>
                    <w:sz w:val="32"/>
                    <w:szCs w:val="32"/>
                    <w:rtl/>
                  </w:rPr>
                </w:pPr>
                <w:r w:rsidRPr="00F038D8">
                  <w:rPr>
                    <w:rFonts w:ascii="Tahoma" w:hAnsi="Tahoma"/>
                    <w:color w:val="000080"/>
                    <w:sz w:val="32"/>
                    <w:szCs w:val="32"/>
                    <w:rtl/>
                  </w:rPr>
                  <w:t>בית משפט השלום בפתח תקווה</w:t>
                </w:r>
              </w:p>
            </w:tc>
          </w:sdtContent>
        </w:sdt>
      </w:tr>
      <w:tr w:rsidR="008D5CC4" w:rsidTr="008D5CC4">
        <w:trPr>
          <w:trHeight w:val="337"/>
          <w:jc w:val="center"/>
        </w:trPr>
        <w:tc>
          <w:tcPr>
            <w:tcW w:w="5047" w:type="dxa"/>
          </w:tcPr>
          <w:p w:rsidR="008D5CC4" w:rsidRDefault="008D5CC4" w:rsidP="008D5CC4">
            <w:pPr>
              <w:rPr>
                <w:b/>
                <w:bCs/>
                <w:noProof w:val="0"/>
                <w:sz w:val="26"/>
                <w:szCs w:val="26"/>
                <w:rtl/>
              </w:rPr>
            </w:pPr>
          </w:p>
        </w:tc>
        <w:tc>
          <w:tcPr>
            <w:tcW w:w="3674" w:type="dxa"/>
          </w:tcPr>
          <w:p w:rsidR="008D5CC4" w:rsidRDefault="008D5CC4" w:rsidP="008D5CC4">
            <w:pPr>
              <w:pStyle w:val="a4"/>
              <w:jc w:val="right"/>
              <w:rPr>
                <w:b/>
                <w:bCs/>
                <w:noProof w:val="0"/>
                <w:sz w:val="26"/>
                <w:szCs w:val="26"/>
                <w:rtl/>
              </w:rPr>
            </w:pPr>
          </w:p>
        </w:tc>
      </w:tr>
      <w:tr w:rsidR="008D5CC4" w:rsidTr="008D5CC4">
        <w:trPr>
          <w:trHeight w:val="337"/>
          <w:jc w:val="center"/>
        </w:trPr>
        <w:tc>
          <w:tcPr>
            <w:tcW w:w="8721" w:type="dxa"/>
            <w:gridSpan w:val="2"/>
          </w:tcPr>
          <w:p w:rsidR="008D5CC4" w:rsidRDefault="008D5CC4" w:rsidP="008D5CC4">
            <w:pPr>
              <w:rPr>
                <w:b/>
                <w:bCs/>
                <w:noProof w:val="0"/>
                <w:sz w:val="26"/>
                <w:szCs w:val="26"/>
                <w:rtl/>
              </w:rPr>
            </w:pPr>
            <w:sdt>
              <w:sdtPr>
                <w:rPr>
                  <w:rtl/>
                </w:rPr>
                <w:alias w:val="1170"/>
                <w:tag w:val="1170"/>
                <w:id w:val="1066377040"/>
                <w:text w:multiLine="1"/>
              </w:sdtPr>
              <w:sdtContent>
                <w:r>
                  <w:rPr>
                    <w:b/>
                    <w:bCs/>
                    <w:noProof w:val="0"/>
                    <w:sz w:val="26"/>
                    <w:szCs w:val="26"/>
                    <w:rtl/>
                  </w:rPr>
                  <w:t>תא"מ</w:t>
                </w:r>
              </w:sdtContent>
            </w:sdt>
            <w:r>
              <w:rPr>
                <w:b/>
                <w:bCs/>
                <w:noProof w:val="0"/>
                <w:sz w:val="26"/>
                <w:szCs w:val="26"/>
                <w:rtl/>
              </w:rPr>
              <w:t xml:space="preserve"> </w:t>
            </w:r>
            <w:sdt>
              <w:sdtPr>
                <w:rPr>
                  <w:rtl/>
                </w:rPr>
                <w:alias w:val="1171"/>
                <w:tag w:val="1171"/>
                <w:id w:val="257034231"/>
                <w:text w:multiLine="1"/>
              </w:sdtPr>
              <w:sdtContent>
                <w:r>
                  <w:rPr>
                    <w:b/>
                    <w:bCs/>
                    <w:noProof w:val="0"/>
                    <w:sz w:val="26"/>
                    <w:szCs w:val="26"/>
                    <w:rtl/>
                  </w:rPr>
                  <w:t>19074-08-20</w:t>
                </w:r>
              </w:sdtContent>
            </w:sdt>
            <w:r>
              <w:rPr>
                <w:b/>
                <w:bCs/>
                <w:noProof w:val="0"/>
                <w:sz w:val="26"/>
                <w:szCs w:val="26"/>
                <w:rtl/>
              </w:rPr>
              <w:t xml:space="preserve"> </w:t>
            </w:r>
            <w:sdt>
              <w:sdtPr>
                <w:rPr>
                  <w:b/>
                  <w:bCs/>
                  <w:noProof w:val="0"/>
                  <w:sz w:val="26"/>
                  <w:szCs w:val="26"/>
                  <w:rtl/>
                </w:rPr>
                <w:alias w:val="3154"/>
                <w:tag w:val="3154"/>
                <w:id w:val="-1285889662"/>
                <w:placeholder>
                  <w:docPart w:val="64DEE5451BF144DB8CAAC8785C6E1858"/>
                </w:placeholder>
                <w:text w:multiLine="1"/>
              </w:sdtPr>
              <w:sdtContent>
                <w:r>
                  <w:rPr>
                    <w:b/>
                    <w:bCs/>
                    <w:noProof w:val="0"/>
                    <w:sz w:val="26"/>
                    <w:szCs w:val="26"/>
                    <w:rtl/>
                  </w:rPr>
                  <w:t>נעים נ' איילון חברה לביטוח בע"מ</w:t>
                </w:r>
              </w:sdtContent>
            </w:sdt>
            <w:r>
              <w:rPr>
                <w:b/>
                <w:bCs/>
                <w:noProof w:val="0"/>
                <w:sz w:val="26"/>
                <w:szCs w:val="26"/>
                <w:rtl/>
              </w:rPr>
              <w:t xml:space="preserve"> </w:t>
            </w:r>
          </w:p>
          <w:p w:rsidR="008D5CC4" w:rsidRPr="007B7765" w:rsidRDefault="008D5CC4" w:rsidP="008D5CC4">
            <w:pPr>
              <w:rPr>
                <w:b/>
                <w:bCs/>
                <w:noProof w:val="0"/>
                <w:sz w:val="2"/>
                <w:szCs w:val="2"/>
                <w:rtl/>
              </w:rPr>
            </w:pPr>
          </w:p>
          <w:p w:rsidR="008D5CC4" w:rsidRDefault="008D5CC4" w:rsidP="008D5CC4">
            <w:pPr>
              <w:rPr>
                <w:sz w:val="20"/>
                <w:szCs w:val="20"/>
                <w:rtl/>
              </w:rPr>
            </w:pPr>
            <w:r>
              <w:rPr>
                <w:rFonts w:hint="cs"/>
                <w:rtl/>
              </w:rPr>
              <w:t xml:space="preserve">                           </w:t>
            </w:r>
            <w:r>
              <w:rPr>
                <w:rFonts w:hint="cs"/>
                <w:sz w:val="20"/>
                <w:szCs w:val="20"/>
                <w:rtl/>
              </w:rPr>
              <w:t xml:space="preserve">                                       </w:t>
            </w:r>
          </w:p>
          <w:p w:rsidR="008D5CC4" w:rsidRPr="00E1068A" w:rsidRDefault="008D5CC4" w:rsidP="008D5CC4">
            <w:pPr>
              <w:rPr>
                <w:sz w:val="20"/>
                <w:szCs w:val="20"/>
                <w:rtl/>
              </w:rPr>
            </w:pPr>
          </w:p>
        </w:tc>
      </w:tr>
    </w:tbl>
    <w:tbl>
      <w:tblPr>
        <w:tblStyle w:val="a3"/>
        <w:bidiVisual/>
        <w:tblW w:w="8820"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1E0" w:firstRow="1" w:lastRow="1" w:firstColumn="1" w:lastColumn="1" w:noHBand="0" w:noVBand="0"/>
      </w:tblPr>
      <w:tblGrid>
        <w:gridCol w:w="743"/>
        <w:gridCol w:w="2506"/>
        <w:gridCol w:w="5571"/>
      </w:tblGrid>
      <w:tr w:rsidR="008D5CC4" w:rsidTr="008D5CC4">
        <w:trPr>
          <w:jc w:val="center"/>
        </w:trPr>
        <w:tc>
          <w:tcPr>
            <w:tcW w:w="743" w:type="dxa"/>
          </w:tcPr>
          <w:p w:rsidR="008D5CC4" w:rsidRPr="00DD05A8" w:rsidRDefault="008D5CC4" w:rsidP="008D5CC4">
            <w:pPr>
              <w:suppressLineNumbers/>
              <w:jc w:val="both"/>
              <w:rPr>
                <w:rFonts w:ascii="Arial" w:hAnsi="Arial"/>
                <w:b/>
                <w:bCs/>
                <w:sz w:val="26"/>
                <w:szCs w:val="26"/>
                <w:rtl/>
              </w:rPr>
            </w:pPr>
            <w:r w:rsidRPr="00DD05A8">
              <w:rPr>
                <w:rFonts w:ascii="Arial" w:hAnsi="Arial" w:hint="cs"/>
                <w:b/>
                <w:bCs/>
                <w:sz w:val="26"/>
                <w:szCs w:val="26"/>
                <w:rtl/>
              </w:rPr>
              <w:t>ב</w:t>
            </w:r>
            <w:r w:rsidRPr="00DD05A8">
              <w:rPr>
                <w:rFonts w:ascii="Arial" w:hAnsi="Arial"/>
                <w:b/>
                <w:bCs/>
                <w:sz w:val="26"/>
                <w:szCs w:val="26"/>
                <w:rtl/>
              </w:rPr>
              <w:t xml:space="preserve">פני </w:t>
            </w:r>
          </w:p>
        </w:tc>
        <w:tc>
          <w:tcPr>
            <w:tcW w:w="8077" w:type="dxa"/>
            <w:gridSpan w:val="2"/>
          </w:tcPr>
          <w:p w:rsidR="008D5CC4" w:rsidRPr="00DD05A8" w:rsidRDefault="008D5CC4" w:rsidP="008D5CC4">
            <w:pPr>
              <w:suppressLineNumbers/>
              <w:rPr>
                <w:rFonts w:ascii="Arial" w:hAnsi="Arial"/>
                <w:b/>
                <w:bCs/>
                <w:sz w:val="26"/>
                <w:szCs w:val="26"/>
                <w:rtl/>
              </w:rPr>
            </w:pPr>
            <w:r w:rsidRPr="00DD05A8">
              <w:rPr>
                <w:rFonts w:ascii="Arial" w:hAnsi="Arial" w:hint="cs"/>
                <w:b/>
                <w:bCs/>
                <w:sz w:val="26"/>
                <w:szCs w:val="26"/>
                <w:rtl/>
              </w:rPr>
              <w:t>כבוד ה</w:t>
            </w:r>
            <w:sdt>
              <w:sdtPr>
                <w:rPr>
                  <w:sz w:val="26"/>
                  <w:szCs w:val="26"/>
                  <w:rtl/>
                </w:rPr>
                <w:alias w:val="1574"/>
                <w:tag w:val="1574"/>
                <w:id w:val="414602899"/>
                <w:text w:multiLine="1"/>
              </w:sdtPr>
              <w:sdtContent>
                <w:r>
                  <w:rPr>
                    <w:rFonts w:ascii="Arial" w:hAnsi="Arial"/>
                    <w:b/>
                    <w:bCs/>
                    <w:sz w:val="26"/>
                    <w:szCs w:val="26"/>
                    <w:rtl/>
                  </w:rPr>
                  <w:t>שופטת</w:t>
                </w:r>
              </w:sdtContent>
            </w:sdt>
            <w:r w:rsidRPr="00DD05A8">
              <w:rPr>
                <w:rFonts w:ascii="Arial" w:hAnsi="Arial" w:hint="cs"/>
                <w:b/>
                <w:bCs/>
                <w:sz w:val="26"/>
                <w:szCs w:val="26"/>
                <w:rtl/>
              </w:rPr>
              <w:t xml:space="preserve"> </w:t>
            </w:r>
            <w:sdt>
              <w:sdtPr>
                <w:rPr>
                  <w:sz w:val="26"/>
                  <w:szCs w:val="26"/>
                  <w:rtl/>
                </w:rPr>
                <w:alias w:val="1573"/>
                <w:tag w:val="1573"/>
                <w:id w:val="-1751030614"/>
                <w:text w:multiLine="1"/>
              </w:sdtPr>
              <w:sdtContent>
                <w:r>
                  <w:rPr>
                    <w:rFonts w:ascii="Arial" w:hAnsi="Arial"/>
                    <w:b/>
                    <w:bCs/>
                    <w:sz w:val="26"/>
                    <w:szCs w:val="26"/>
                    <w:rtl/>
                  </w:rPr>
                  <w:t>זהבית אלדר</w:t>
                </w:r>
              </w:sdtContent>
            </w:sdt>
          </w:p>
          <w:p w:rsidR="008D5CC4" w:rsidRPr="00DD05A8" w:rsidRDefault="008D5CC4" w:rsidP="008D5CC4">
            <w:pPr>
              <w:suppressLineNumbers/>
              <w:rPr>
                <w:rFonts w:ascii="Arial" w:hAnsi="Arial" w:cs="FrankRuehl"/>
                <w:sz w:val="26"/>
                <w:szCs w:val="26"/>
                <w:highlight w:val="yellow"/>
              </w:rPr>
            </w:pPr>
          </w:p>
        </w:tc>
      </w:tr>
      <w:tr w:rsidR="008D5CC4" w:rsidTr="008D5CC4">
        <w:trPr>
          <w:jc w:val="center"/>
        </w:trPr>
        <w:tc>
          <w:tcPr>
            <w:tcW w:w="3249" w:type="dxa"/>
            <w:gridSpan w:val="2"/>
          </w:tcPr>
          <w:p w:rsidR="008D5CC4" w:rsidRDefault="008D5CC4" w:rsidP="008D5CC4">
            <w:pPr>
              <w:suppressLineNumbers/>
              <w:rPr>
                <w:rFonts w:ascii="Arial" w:hAnsi="Arial"/>
                <w:b/>
                <w:bCs/>
                <w:noProof w:val="0"/>
                <w:sz w:val="26"/>
                <w:szCs w:val="26"/>
              </w:rPr>
            </w:pPr>
          </w:p>
          <w:sdt>
            <w:sdtPr>
              <w:rPr>
                <w:rtl/>
              </w:rPr>
              <w:alias w:val="1180"/>
              <w:tag w:val="1180"/>
              <w:id w:val="637458750"/>
              <w:text w:multiLine="1"/>
            </w:sdtPr>
            <w:sdtContent>
              <w:p w:rsidR="008D5CC4" w:rsidRDefault="008D5CC4" w:rsidP="008D5CC4">
                <w:pPr>
                  <w:suppressLineNumbers/>
                  <w:rPr>
                    <w:rFonts w:ascii="Arial" w:hAnsi="Arial"/>
                    <w:b/>
                    <w:bCs/>
                    <w:noProof w:val="0"/>
                    <w:sz w:val="26"/>
                    <w:szCs w:val="26"/>
                    <w:rtl/>
                  </w:rPr>
                </w:pPr>
                <w:r>
                  <w:rPr>
                    <w:rFonts w:ascii="Arial" w:hAnsi="Arial"/>
                    <w:b/>
                    <w:bCs/>
                    <w:noProof w:val="0"/>
                    <w:sz w:val="26"/>
                    <w:szCs w:val="26"/>
                    <w:rtl/>
                  </w:rPr>
                  <w:t>תוב</w:t>
                </w:r>
                <w:r>
                  <w:rPr>
                    <w:rFonts w:ascii="Arial" w:hAnsi="Arial" w:hint="cs"/>
                    <w:b/>
                    <w:bCs/>
                    <w:noProof w:val="0"/>
                    <w:sz w:val="26"/>
                    <w:szCs w:val="26"/>
                    <w:rtl/>
                  </w:rPr>
                  <w:t>ע</w:t>
                </w:r>
              </w:p>
            </w:sdtContent>
          </w:sdt>
        </w:tc>
        <w:tc>
          <w:tcPr>
            <w:tcW w:w="5571" w:type="dxa"/>
          </w:tcPr>
          <w:p w:rsidR="008D5CC4" w:rsidRDefault="008D5CC4" w:rsidP="008D5CC4">
            <w:pPr>
              <w:suppressLineNumbers/>
              <w:rPr>
                <w:rFonts w:ascii="Arial" w:hAnsi="Arial"/>
                <w:b/>
                <w:bCs/>
                <w:noProof w:val="0"/>
                <w:sz w:val="26"/>
                <w:szCs w:val="26"/>
                <w:rtl/>
              </w:rPr>
            </w:pPr>
          </w:p>
          <w:p w:rsidR="008D5CC4" w:rsidRDefault="008D5CC4" w:rsidP="008D5CC4">
            <w:pPr>
              <w:suppressLineNumbers/>
              <w:rPr>
                <w:b/>
                <w:bCs/>
                <w:noProof w:val="0"/>
                <w:sz w:val="26"/>
                <w:szCs w:val="26"/>
              </w:rPr>
            </w:pPr>
            <w:r w:rsidRPr="007C2453">
              <w:rPr>
                <w:rFonts w:ascii="Arial" w:hAnsi="Arial" w:hint="cs"/>
                <w:b/>
                <w:bCs/>
                <w:noProof w:val="0"/>
                <w:sz w:val="26"/>
                <w:szCs w:val="26"/>
                <w:rtl/>
              </w:rPr>
              <w:t xml:space="preserve"> </w:t>
            </w:r>
            <w:sdt>
              <w:sdtPr>
                <w:rPr>
                  <w:rFonts w:ascii="Arial" w:hAnsi="Arial" w:hint="cs"/>
                  <w:b/>
                  <w:bCs/>
                  <w:noProof w:val="0"/>
                  <w:sz w:val="26"/>
                  <w:szCs w:val="26"/>
                  <w:rtl/>
                </w:rPr>
                <w:alias w:val="3151"/>
                <w:tag w:val="3151"/>
                <w:id w:val="1398553265"/>
                <w:placeholder>
                  <w:docPart w:val="3041BBA61E714FECBB0D80574A3D2F9F"/>
                </w:placeholder>
                <w:text w:multiLine="1"/>
              </w:sdtPr>
              <w:sdtContent>
                <w:r>
                  <w:rPr>
                    <w:rFonts w:ascii="Arial" w:hAnsi="Arial" w:hint="eastAsia"/>
                    <w:b/>
                    <w:bCs/>
                    <w:noProof w:val="0"/>
                    <w:sz w:val="26"/>
                    <w:szCs w:val="26"/>
                    <w:rtl/>
                  </w:rPr>
                  <w:t>רפי נעים</w:t>
                </w:r>
              </w:sdtContent>
            </w:sdt>
            <w:r>
              <w:rPr>
                <w:rFonts w:hint="cs"/>
                <w:rtl/>
              </w:rPr>
              <w:t xml:space="preserve"> </w:t>
            </w:r>
          </w:p>
        </w:tc>
      </w:tr>
      <w:tr w:rsidR="008D5CC4" w:rsidTr="008D5CC4">
        <w:trPr>
          <w:jc w:val="center"/>
        </w:trPr>
        <w:tc>
          <w:tcPr>
            <w:tcW w:w="8820" w:type="dxa"/>
            <w:gridSpan w:val="3"/>
          </w:tcPr>
          <w:p w:rsidR="008D5CC4" w:rsidRDefault="008D5CC4" w:rsidP="008D5CC4">
            <w:pPr>
              <w:suppressLineNumbers/>
              <w:rPr>
                <w:rFonts w:ascii="Arial" w:hAnsi="Arial"/>
                <w:b/>
                <w:bCs/>
                <w:noProof w:val="0"/>
                <w:sz w:val="26"/>
                <w:szCs w:val="26"/>
                <w:rtl/>
              </w:rPr>
            </w:pPr>
          </w:p>
          <w:p w:rsidR="008D5CC4" w:rsidRDefault="008D5CC4" w:rsidP="008D5CC4">
            <w:pPr>
              <w:suppressLineNumbers/>
              <w:jc w:val="center"/>
              <w:rPr>
                <w:rFonts w:ascii="Arial" w:hAnsi="Arial"/>
                <w:b/>
                <w:bCs/>
                <w:noProof w:val="0"/>
                <w:sz w:val="26"/>
                <w:szCs w:val="26"/>
                <w:rtl/>
              </w:rPr>
            </w:pPr>
            <w:r>
              <w:rPr>
                <w:rFonts w:ascii="Arial" w:hAnsi="Arial"/>
                <w:b/>
                <w:bCs/>
                <w:noProof w:val="0"/>
                <w:sz w:val="26"/>
                <w:szCs w:val="26"/>
                <w:rtl/>
              </w:rPr>
              <w:t>נגד</w:t>
            </w:r>
          </w:p>
          <w:p w:rsidR="008D5CC4" w:rsidRDefault="008D5CC4" w:rsidP="008D5CC4">
            <w:pPr>
              <w:suppressLineNumbers/>
              <w:rPr>
                <w:rFonts w:ascii="Arial" w:hAnsi="Arial"/>
                <w:b/>
                <w:bCs/>
                <w:noProof w:val="0"/>
                <w:sz w:val="26"/>
                <w:szCs w:val="26"/>
              </w:rPr>
            </w:pPr>
          </w:p>
        </w:tc>
      </w:tr>
      <w:tr w:rsidR="008D5CC4" w:rsidTr="008D5CC4">
        <w:trPr>
          <w:jc w:val="center"/>
        </w:trPr>
        <w:tc>
          <w:tcPr>
            <w:tcW w:w="3249" w:type="dxa"/>
            <w:gridSpan w:val="2"/>
          </w:tcPr>
          <w:p w:rsidR="008D5CC4" w:rsidRDefault="008D5CC4" w:rsidP="008D5CC4">
            <w:pPr>
              <w:suppressLineNumbers/>
              <w:rPr>
                <w:rFonts w:ascii="Arial" w:hAnsi="Arial"/>
                <w:b/>
                <w:bCs/>
                <w:noProof w:val="0"/>
                <w:sz w:val="26"/>
                <w:szCs w:val="26"/>
              </w:rPr>
            </w:pPr>
            <w:sdt>
              <w:sdtPr>
                <w:rPr>
                  <w:rtl/>
                </w:rPr>
                <w:alias w:val="1184"/>
                <w:tag w:val="1184"/>
                <w:id w:val="-340621022"/>
                <w:text w:multiLine="1"/>
              </w:sdtPr>
              <w:sdtContent>
                <w:r>
                  <w:rPr>
                    <w:rFonts w:ascii="Arial" w:hAnsi="Arial"/>
                    <w:b/>
                    <w:bCs/>
                    <w:noProof w:val="0"/>
                    <w:sz w:val="26"/>
                    <w:szCs w:val="26"/>
                    <w:rtl/>
                  </w:rPr>
                  <w:t>נתבע</w:t>
                </w:r>
                <w:r>
                  <w:rPr>
                    <w:rFonts w:ascii="Arial" w:hAnsi="Arial" w:hint="cs"/>
                    <w:b/>
                    <w:bCs/>
                    <w:noProof w:val="0"/>
                    <w:sz w:val="26"/>
                    <w:szCs w:val="26"/>
                    <w:rtl/>
                  </w:rPr>
                  <w:t>ת</w:t>
                </w:r>
              </w:sdtContent>
            </w:sdt>
          </w:p>
        </w:tc>
        <w:tc>
          <w:tcPr>
            <w:tcW w:w="5571" w:type="dxa"/>
          </w:tcPr>
          <w:p w:rsidR="008D5CC4" w:rsidRPr="009E461A" w:rsidRDefault="008D5CC4" w:rsidP="008D5CC4">
            <w:pPr>
              <w:suppressLineNumbers/>
              <w:rPr>
                <w:rtl/>
              </w:rPr>
            </w:pPr>
            <w:r>
              <w:rPr>
                <w:rFonts w:ascii="Arial" w:hAnsi="Arial" w:hint="cs"/>
                <w:b/>
                <w:bCs/>
                <w:noProof w:val="0"/>
                <w:sz w:val="26"/>
                <w:szCs w:val="26"/>
                <w:rtl/>
              </w:rPr>
              <w:t xml:space="preserve"> </w:t>
            </w:r>
            <w:sdt>
              <w:sdtPr>
                <w:rPr>
                  <w:rFonts w:ascii="Arial" w:hAnsi="Arial" w:hint="cs"/>
                  <w:b/>
                  <w:bCs/>
                  <w:noProof w:val="0"/>
                  <w:sz w:val="26"/>
                  <w:szCs w:val="26"/>
                  <w:rtl/>
                </w:rPr>
                <w:alias w:val="3152"/>
                <w:tag w:val="3152"/>
                <w:id w:val="1920052440"/>
                <w:placeholder>
                  <w:docPart w:val="67D70115CE854099BF99989A39131CC4"/>
                </w:placeholder>
                <w:text w:multiLine="1"/>
              </w:sdtPr>
              <w:sdtContent>
                <w:r>
                  <w:rPr>
                    <w:rFonts w:ascii="Arial" w:hAnsi="Arial" w:hint="eastAsia"/>
                    <w:b/>
                    <w:bCs/>
                    <w:noProof w:val="0"/>
                    <w:sz w:val="26"/>
                    <w:szCs w:val="26"/>
                    <w:rtl/>
                  </w:rPr>
                  <w:t>איילון חברה לביטוח בע"מ</w:t>
                </w:r>
              </w:sdtContent>
            </w:sdt>
            <w:r>
              <w:rPr>
                <w:rFonts w:hint="cs"/>
                <w:rtl/>
              </w:rPr>
              <w:t xml:space="preserve"> </w:t>
            </w:r>
          </w:p>
        </w:tc>
      </w:tr>
      <w:tr w:rsidR="008D5CC4" w:rsidTr="008D5CC4">
        <w:trPr>
          <w:jc w:val="center"/>
        </w:trPr>
        <w:tc>
          <w:tcPr>
            <w:tcW w:w="8820" w:type="dxa"/>
            <w:gridSpan w:val="3"/>
          </w:tcPr>
          <w:p w:rsidR="008D5CC4" w:rsidRDefault="008D5CC4" w:rsidP="008D5CC4">
            <w:pPr>
              <w:suppressLineNumbers/>
              <w:rPr>
                <w:rtl/>
              </w:rPr>
            </w:pPr>
          </w:p>
        </w:tc>
      </w:tr>
      <w:tr w:rsidR="008D5CC4" w:rsidRPr="00DE1E7D" w:rsidTr="008D5CC4">
        <w:trPr>
          <w:jc w:val="center"/>
        </w:trPr>
        <w:tc>
          <w:tcPr>
            <w:tcW w:w="8820" w:type="dxa"/>
            <w:gridSpan w:val="3"/>
          </w:tcPr>
          <w:p w:rsidR="008D5CC4" w:rsidRDefault="008D5CC4" w:rsidP="008D5CC4">
            <w:pPr>
              <w:bidi w:val="0"/>
              <w:jc w:val="center"/>
              <w:rPr>
                <w:rFonts w:ascii="Arial" w:hAnsi="Arial"/>
                <w:b/>
                <w:bCs/>
                <w:noProof w:val="0"/>
                <w:sz w:val="28"/>
                <w:szCs w:val="28"/>
                <w:u w:val="single"/>
                <w:rtl/>
              </w:rPr>
            </w:pPr>
            <w:r>
              <w:rPr>
                <w:rFonts w:ascii="Arial" w:hAnsi="Arial" w:hint="cs"/>
                <w:b/>
                <w:bCs/>
                <w:noProof w:val="0"/>
                <w:sz w:val="28"/>
                <w:szCs w:val="28"/>
                <w:u w:val="single"/>
                <w:rtl/>
              </w:rPr>
              <w:t>פסק דין</w:t>
            </w:r>
          </w:p>
          <w:p w:rsidR="008D5CC4" w:rsidRPr="00D44968" w:rsidRDefault="008D5CC4" w:rsidP="008D5CC4">
            <w:pPr>
              <w:bidi w:val="0"/>
              <w:jc w:val="center"/>
              <w:rPr>
                <w:rFonts w:ascii="Arial" w:hAnsi="Arial"/>
                <w:b/>
                <w:bCs/>
                <w:noProof w:val="0"/>
                <w:sz w:val="28"/>
                <w:szCs w:val="28"/>
                <w:u w:val="single"/>
              </w:rPr>
            </w:pPr>
          </w:p>
        </w:tc>
      </w:tr>
    </w:tbl>
    <w:p w:rsidR="008D5CC4" w:rsidRDefault="008D5CC4" w:rsidP="008D5CC4">
      <w:pPr>
        <w:spacing w:line="360" w:lineRule="auto"/>
        <w:ind w:left="720" w:hanging="720"/>
        <w:jc w:val="both"/>
      </w:pPr>
      <w:bookmarkStart w:id="0" w:name="NGCSBookmark"/>
      <w:bookmarkEnd w:id="0"/>
      <w:r>
        <w:rPr>
          <w:rtl/>
        </w:rPr>
        <w:t>1.</w:t>
      </w:r>
      <w:r>
        <w:rPr>
          <w:rtl/>
        </w:rPr>
        <w:tab/>
        <w:t xml:space="preserve">לפניי תביעה כספית על סך 1,165 ₪, שעניינה הפרש שקיזזה הנתבעת – היא מבטחת רכב התובע,  בגין רכיב שכר טרחת שמאי בו נשא התובע בעטיה של תאונה בה היה מעורב רכבו. </w:t>
      </w:r>
    </w:p>
    <w:p w:rsidR="008D5CC4" w:rsidRDefault="008D5CC4" w:rsidP="008D5CC4">
      <w:pPr>
        <w:spacing w:line="360" w:lineRule="auto"/>
        <w:jc w:val="both"/>
        <w:rPr>
          <w:rtl/>
        </w:rPr>
      </w:pPr>
    </w:p>
    <w:p w:rsidR="008D5CC4" w:rsidRDefault="008D5CC4" w:rsidP="008D5CC4">
      <w:pPr>
        <w:spacing w:line="360" w:lineRule="auto"/>
        <w:ind w:left="720" w:hanging="720"/>
        <w:jc w:val="both"/>
        <w:rPr>
          <w:rtl/>
        </w:rPr>
      </w:pPr>
      <w:r>
        <w:rPr>
          <w:rtl/>
        </w:rPr>
        <w:t>2.</w:t>
      </w:r>
      <w:r>
        <w:rPr>
          <w:rtl/>
        </w:rPr>
        <w:tab/>
        <w:t xml:space="preserve">הקיזוז שביצעה הנתבעת עומד על סך של 665 ₪. במסגרת התביעה נתבע רכיב נוסף בגין עוגמת נפש בסך של 500 ₪.  עיון בהודעת התשלום שצורפה לכתב התביעה מעלה כי בגין רכיב שכר טרחת שמאי שולם סך של 1,755 ₪, בעוד שכר טרחת השמאי כפי שנתבע במסגרת הדרישה לתשלום עמד על סך של 2,420 ₪ . </w:t>
      </w:r>
    </w:p>
    <w:p w:rsidR="008D5CC4" w:rsidRDefault="008D5CC4" w:rsidP="008D5CC4">
      <w:pPr>
        <w:spacing w:line="360" w:lineRule="auto"/>
        <w:jc w:val="both"/>
        <w:rPr>
          <w:rtl/>
        </w:rPr>
      </w:pPr>
    </w:p>
    <w:p w:rsidR="008D5CC4" w:rsidRDefault="008D5CC4" w:rsidP="008D5CC4">
      <w:pPr>
        <w:spacing w:line="360" w:lineRule="auto"/>
        <w:ind w:left="720" w:hanging="720"/>
        <w:jc w:val="both"/>
        <w:rPr>
          <w:rtl/>
        </w:rPr>
      </w:pPr>
      <w:r>
        <w:rPr>
          <w:rtl/>
        </w:rPr>
        <w:t>3.</w:t>
      </w:r>
      <w:r>
        <w:rPr>
          <w:rtl/>
        </w:rPr>
        <w:tab/>
        <w:t>במסגרת כתב ההגנה שהוגש מטעם הנתבעת נטען כי מדובר בתביעה בגין שכר טרחת שמאי מופרז וזאת לכאורה בשם התובע כאשר קיים "חשש כבד", כי מי שעומד מאחורי תביעות כגון דא הוא השמאי אשר לא גובה בפועל את שכר הטרחה המופרז ושולח את התובע ל"חזית"  תוך אי חיוב בפועל בגין שכר הטרחה המלא, וכן תוך הבטחה כי ככל שבית המשפט לא יקבל את התביעה, יוחזר לידי התובע מלוא ההפרש (ראה למשל סעיף 10 לכתב ההגנה).</w:t>
      </w:r>
    </w:p>
    <w:p w:rsidR="008D5CC4" w:rsidRDefault="008D5CC4" w:rsidP="008D5CC4">
      <w:pPr>
        <w:spacing w:line="360" w:lineRule="auto"/>
        <w:ind w:left="720" w:hanging="720"/>
        <w:jc w:val="both"/>
        <w:rPr>
          <w:rtl/>
        </w:rPr>
      </w:pPr>
      <w:r>
        <w:rPr>
          <w:rtl/>
        </w:rPr>
        <w:t>4.</w:t>
      </w:r>
      <w:r>
        <w:rPr>
          <w:rtl/>
        </w:rPr>
        <w:tab/>
        <w:t xml:space="preserve">עוד הוסיפה הנתבעת וטענה בכתב ההגנה, כי פיצתה את התובע בשכר טרחה בשיעור אשר תואם את היקף העבודה של השמאי וכי ההפרש הנתבע הינו מופרז ביחס למקובל והנהוג בשוק ואינו עולה בקנה אחד עם החובה להקטין את הנזק. </w:t>
      </w:r>
    </w:p>
    <w:p w:rsidR="008D5CC4" w:rsidRDefault="008D5CC4" w:rsidP="008D5CC4">
      <w:pPr>
        <w:spacing w:line="360" w:lineRule="auto"/>
        <w:ind w:left="720" w:hanging="720"/>
        <w:jc w:val="both"/>
        <w:rPr>
          <w:rtl/>
        </w:rPr>
      </w:pPr>
    </w:p>
    <w:p w:rsidR="008D5CC4" w:rsidRDefault="008D5CC4" w:rsidP="008D5CC4">
      <w:pPr>
        <w:spacing w:line="360" w:lineRule="auto"/>
        <w:ind w:left="720" w:hanging="720"/>
        <w:jc w:val="both"/>
        <w:rPr>
          <w:rtl/>
        </w:rPr>
      </w:pPr>
      <w:r>
        <w:rPr>
          <w:rtl/>
        </w:rPr>
        <w:t>5.</w:t>
      </w:r>
      <w:r>
        <w:rPr>
          <w:rtl/>
        </w:rPr>
        <w:tab/>
        <w:t xml:space="preserve">בדיון שהתקיים בפניי ביום 1.6.22, הציג ב"כ התובע קבלה על תשלום בפועל של שכר טרחת השמאי (מסומנת בתיק </w:t>
      </w:r>
      <w:r>
        <w:rPr>
          <w:rFonts w:hint="cs"/>
          <w:rtl/>
        </w:rPr>
        <w:t>ת</w:t>
      </w:r>
      <w:r>
        <w:rPr>
          <w:rtl/>
        </w:rPr>
        <w:t xml:space="preserve">/1). באותו המועד הודיעה ב"כ הנתבעת כי הנתבעת עומדת על כך שבית המשפט יקבע את התיק להוכחות, ועתרה לחקירת התובע והשמאי מטעמו. למועד דיון נוסף שנקבע ליום 28.9.22 התייצבו באי כוח הצדדים וכן התובע, כאשר השמאי מטעם </w:t>
      </w:r>
      <w:r>
        <w:rPr>
          <w:rtl/>
        </w:rPr>
        <w:lastRenderedPageBreak/>
        <w:t xml:space="preserve">התובע לא התייצב בטענה כי אינו חש בטוב. במועד הדיון שבה ב"כ הנתבעת והודיעה כי הנתבעת עומדת על חקירתו של השמאי. לפיכך נדחה הדיון להיום, 13.2.23. </w:t>
      </w:r>
    </w:p>
    <w:p w:rsidR="008D5CC4" w:rsidRDefault="008D5CC4" w:rsidP="008D5CC4">
      <w:pPr>
        <w:spacing w:line="360" w:lineRule="auto"/>
        <w:ind w:left="720" w:hanging="720"/>
        <w:jc w:val="both"/>
        <w:rPr>
          <w:rtl/>
        </w:rPr>
      </w:pPr>
    </w:p>
    <w:p w:rsidR="008D5CC4" w:rsidRDefault="008D5CC4" w:rsidP="008D5CC4">
      <w:pPr>
        <w:spacing w:line="360" w:lineRule="auto"/>
        <w:ind w:left="720" w:hanging="720"/>
        <w:jc w:val="both"/>
        <w:rPr>
          <w:rtl/>
        </w:rPr>
      </w:pPr>
      <w:r>
        <w:rPr>
          <w:rtl/>
        </w:rPr>
        <w:t>6.</w:t>
      </w:r>
      <w:r>
        <w:rPr>
          <w:rtl/>
        </w:rPr>
        <w:tab/>
        <w:t xml:space="preserve">במועד הדיון שהתקיים בפניי היום נחקר התובע וכן השמאי שערך את חוות הדעת בגין נזקי רכב התובע נשוא התאונה בהליך זה. </w:t>
      </w:r>
    </w:p>
    <w:p w:rsidR="008D5CC4" w:rsidRDefault="008D5CC4" w:rsidP="008D5CC4">
      <w:pPr>
        <w:spacing w:line="360" w:lineRule="auto"/>
        <w:ind w:left="720" w:hanging="720"/>
        <w:jc w:val="both"/>
        <w:rPr>
          <w:rtl/>
        </w:rPr>
      </w:pPr>
    </w:p>
    <w:p w:rsidR="008D5CC4" w:rsidRDefault="008D5CC4" w:rsidP="008D5CC4">
      <w:pPr>
        <w:spacing w:line="360" w:lineRule="auto"/>
        <w:ind w:left="720" w:hanging="720"/>
        <w:jc w:val="both"/>
        <w:rPr>
          <w:rtl/>
        </w:rPr>
      </w:pPr>
      <w:r>
        <w:rPr>
          <w:rtl/>
        </w:rPr>
        <w:t>7.</w:t>
      </w:r>
      <w:r>
        <w:rPr>
          <w:rtl/>
        </w:rPr>
        <w:tab/>
        <w:t xml:space="preserve">התובע העיד בחקירתו כי שילם בעבור שכר טרחת השמאי בהמחאה אשר נפרעה. התובע העיד כי במוסך בו תיקן את רכבו הומלץ לו על השמאי אשר ערך את חוות הדעת, ולכן הוא שכר  את שירותיו ושילם לו שכר הטרחה כפי שנדרש על ידו. </w:t>
      </w:r>
    </w:p>
    <w:p w:rsidR="008D5CC4" w:rsidRDefault="008D5CC4" w:rsidP="008D5CC4">
      <w:pPr>
        <w:spacing w:line="360" w:lineRule="auto"/>
        <w:ind w:left="720" w:hanging="720"/>
        <w:jc w:val="both"/>
        <w:rPr>
          <w:rtl/>
        </w:rPr>
      </w:pPr>
    </w:p>
    <w:p w:rsidR="008D5CC4" w:rsidRDefault="008D5CC4" w:rsidP="008D5CC4">
      <w:pPr>
        <w:spacing w:line="360" w:lineRule="auto"/>
        <w:ind w:left="720" w:hanging="720"/>
        <w:jc w:val="both"/>
        <w:rPr>
          <w:rtl/>
        </w:rPr>
      </w:pPr>
      <w:r>
        <w:rPr>
          <w:rtl/>
        </w:rPr>
        <w:t>8.</w:t>
      </w:r>
      <w:r>
        <w:rPr>
          <w:rtl/>
        </w:rPr>
        <w:tab/>
        <w:t xml:space="preserve">בחקירתו של השמאי הציג השמאי צילום העתק ההמחאה שמסר לו התובע על סך </w:t>
      </w:r>
      <w:r>
        <w:rPr>
          <w:rtl/>
        </w:rPr>
        <w:br/>
        <w:t xml:space="preserve">של 2,420 ₪ ז"פ 29.4.19 , בגינה הפיק חשבונית מס קבלה שהוגשה לתיק (העתק ההמחאה והקבלה סומנו </w:t>
      </w:r>
      <w:r>
        <w:rPr>
          <w:rFonts w:hint="cs"/>
          <w:rtl/>
        </w:rPr>
        <w:t>ת</w:t>
      </w:r>
      <w:r>
        <w:rPr>
          <w:rtl/>
        </w:rPr>
        <w:t xml:space="preserve">/1). השמאי העיד כי ההמחאה נפרעה במועדה. בהתייחס לפעולות שבוצעו על ידו בקשר לבדיקת רכב התובע, הפנה השמאי לדו"ח השמאי שם צוין כי הגיע למוסך לשלושה ביקורים. השמאי העיד כי לא ציין את תאריכי הביקור במוסך מאחר ומדובר בתוכנה לה הוא מזין נתונים, ובתוכנה בה הוא משתמש אין אפשרות לציין תאריכים, מעבר למועד הבדיקה הראשונה של הרכב. לדבריו, הוא הגיע למוסך במהלך התיקון וכן לצורך קביעת ירידת הערך, כאשר בתוכנה בה הוא משתמש אין אפשרות לפרט מה נעשה בכל ביקור וביקור. השמאי הוסיף וציין כי בסעיף 6 לחו"ד תחת הכותרת "תנאים והגבלות", מפורטות הפעולות המבוצעות על ידי השמאי במקרה של חוות דעת פרטית שאינה לחברת ביטוח. </w:t>
      </w:r>
    </w:p>
    <w:p w:rsidR="008D5CC4" w:rsidRDefault="008D5CC4" w:rsidP="008D5CC4">
      <w:pPr>
        <w:spacing w:line="360" w:lineRule="auto"/>
        <w:ind w:left="720" w:hanging="720"/>
        <w:jc w:val="both"/>
        <w:rPr>
          <w:rtl/>
        </w:rPr>
      </w:pPr>
    </w:p>
    <w:p w:rsidR="008D5CC4" w:rsidRDefault="008D5CC4" w:rsidP="008D5CC4">
      <w:pPr>
        <w:spacing w:line="360" w:lineRule="auto"/>
        <w:ind w:left="720" w:hanging="720"/>
        <w:jc w:val="both"/>
        <w:rPr>
          <w:rtl/>
        </w:rPr>
      </w:pPr>
      <w:r>
        <w:rPr>
          <w:rtl/>
        </w:rPr>
        <w:t>9.</w:t>
      </w:r>
      <w:r>
        <w:rPr>
          <w:rtl/>
        </w:rPr>
        <w:tab/>
        <w:t xml:space="preserve"> </w:t>
      </w:r>
      <w:r w:rsidRPr="00A8779B">
        <w:rPr>
          <w:b/>
          <w:bCs/>
          <w:rtl/>
        </w:rPr>
        <w:t>לאחר ששמעתי את עדותו של התובע והשמאי וכן את סיכומי באי כח הצדדים, מצאתי כי יש לקבל את התביעה ואף לחייב את הנתבעת בהו</w:t>
      </w:r>
      <w:r>
        <w:rPr>
          <w:b/>
          <w:bCs/>
          <w:rtl/>
        </w:rPr>
        <w:t>צאות לטובת אוצר המדינה, ואסביר</w:t>
      </w:r>
      <w:r>
        <w:rPr>
          <w:rFonts w:hint="cs"/>
          <w:b/>
          <w:bCs/>
          <w:rtl/>
        </w:rPr>
        <w:t>;</w:t>
      </w:r>
    </w:p>
    <w:p w:rsidR="008D5CC4" w:rsidRDefault="008D5CC4" w:rsidP="008D5CC4">
      <w:pPr>
        <w:spacing w:line="360" w:lineRule="auto"/>
        <w:ind w:left="720" w:hanging="720"/>
        <w:jc w:val="both"/>
        <w:rPr>
          <w:rtl/>
        </w:rPr>
      </w:pPr>
    </w:p>
    <w:p w:rsidR="008D5CC4" w:rsidRDefault="008D5CC4" w:rsidP="008D5CC4">
      <w:pPr>
        <w:spacing w:line="360" w:lineRule="auto"/>
        <w:ind w:left="720" w:hanging="720"/>
        <w:jc w:val="both"/>
        <w:rPr>
          <w:rtl/>
        </w:rPr>
      </w:pPr>
      <w:r>
        <w:rPr>
          <w:rtl/>
        </w:rPr>
        <w:t>א.</w:t>
      </w:r>
      <w:r>
        <w:rPr>
          <w:rtl/>
        </w:rPr>
        <w:tab/>
        <w:t xml:space="preserve">עיון בכתב ההגנה שהגישה הנתבעת מעלה כי במסגרתו  הועלו טענות חמורות בדבר שיטה חוזרת וברורה של הגשת תביעות על ידי תובעים כאשר קיים חשש "שמבוסס על ניסיונות קודמים", כי מי שעומד מאחורי התביעות הם השמאים הגובים שכר טרחה מופרז, ומתחייבים בפני התובעים להשיב להם את ההפרש שקוזז ככל שהתביעה תדחה. </w:t>
      </w:r>
    </w:p>
    <w:p w:rsidR="008D5CC4" w:rsidRDefault="008D5CC4" w:rsidP="008D5CC4">
      <w:pPr>
        <w:spacing w:line="360" w:lineRule="auto"/>
        <w:ind w:left="720" w:hanging="720"/>
        <w:jc w:val="both"/>
        <w:rPr>
          <w:rtl/>
        </w:rPr>
      </w:pPr>
      <w:r>
        <w:rPr>
          <w:rtl/>
        </w:rPr>
        <w:t>ב.</w:t>
      </w:r>
      <w:r>
        <w:rPr>
          <w:rtl/>
        </w:rPr>
        <w:tab/>
        <w:t xml:space="preserve">אלא מאי? שטענות אלו שיש בהן כדי ניסיון להטיל דופי הן בהתנהלותו של התובע והן בהתנהלותו של השמאי לא בוססו על ידי הנתבעת ולו בראשית ראיה. כבר נפסק במקרה אחר בו הועלתה טענה דומה על ידי חברת הביטוח כי: </w:t>
      </w:r>
      <w:r>
        <w:rPr>
          <w:b/>
          <w:bCs/>
          <w:rtl/>
        </w:rPr>
        <w:t xml:space="preserve">"טרם תאסור מלחמה על תובע ספציפי, נוכח ריבה עם השמאי מטעמו, מותב כי תהא חמושה במידע קונקרטי הנוגע למקרה, ולא זה המצב בענייננו............  בירור טענות כלפי שמאים על גבו של הניזוק התמים, אינה דרך פעולה חלופית לגיטימית". </w:t>
      </w:r>
      <w:r>
        <w:rPr>
          <w:rtl/>
        </w:rPr>
        <w:t xml:space="preserve">(ראה תא"מ 25275-08-15 </w:t>
      </w:r>
      <w:r>
        <w:rPr>
          <w:b/>
          <w:bCs/>
          <w:rtl/>
        </w:rPr>
        <w:t>וידל יעקב נ' ש. שלמה חברה לביטוח בע"מ</w:t>
      </w:r>
      <w:r>
        <w:rPr>
          <w:rtl/>
        </w:rPr>
        <w:t xml:space="preserve"> (אתר נבו)  3.2.2016 , להלן : </w:t>
      </w:r>
      <w:r>
        <w:rPr>
          <w:b/>
          <w:bCs/>
          <w:rtl/>
        </w:rPr>
        <w:t>("עניין וידל")</w:t>
      </w:r>
      <w:r>
        <w:rPr>
          <w:rtl/>
        </w:rPr>
        <w:t xml:space="preserve">. </w:t>
      </w:r>
    </w:p>
    <w:p w:rsidR="008D5CC4" w:rsidRDefault="008D5CC4" w:rsidP="008D5CC4">
      <w:pPr>
        <w:spacing w:line="360" w:lineRule="auto"/>
        <w:ind w:left="720" w:hanging="720"/>
        <w:jc w:val="both"/>
        <w:rPr>
          <w:rtl/>
        </w:rPr>
      </w:pPr>
    </w:p>
    <w:p w:rsidR="008D5CC4" w:rsidRDefault="008D5CC4" w:rsidP="008D5CC4">
      <w:pPr>
        <w:spacing w:line="360" w:lineRule="auto"/>
        <w:ind w:left="720" w:hanging="720"/>
        <w:jc w:val="both"/>
        <w:rPr>
          <w:rtl/>
        </w:rPr>
      </w:pPr>
      <w:r>
        <w:rPr>
          <w:rtl/>
        </w:rPr>
        <w:t>ג.</w:t>
      </w:r>
      <w:r>
        <w:rPr>
          <w:rtl/>
        </w:rPr>
        <w:tab/>
        <w:t xml:space="preserve">השמאי כאמור הציג במהלך חקירתו העתק של ההמחאה שמסר לו התובע עם עריכת חוות הדעת בגינה הופקה חשבונית מס קבלה. עיון בחשבונית מס קבלה מעלה כי פרטי ההמחאה </w:t>
      </w:r>
      <w:r>
        <w:rPr>
          <w:rtl/>
        </w:rPr>
        <w:lastRenderedPageBreak/>
        <w:t>שצוינו בקבלה תואמים את הפרטים של ההמחאה אותה הציג השמאי. הן התובע והן השמאי העידו כי ההמחאה נפרעה במועדה ועדותם לא נסתרה.</w:t>
      </w:r>
    </w:p>
    <w:p w:rsidR="008D5CC4" w:rsidRDefault="008D5CC4" w:rsidP="008D5CC4">
      <w:pPr>
        <w:spacing w:line="360" w:lineRule="auto"/>
        <w:ind w:left="720" w:hanging="720"/>
        <w:jc w:val="both"/>
        <w:rPr>
          <w:rtl/>
        </w:rPr>
      </w:pPr>
      <w:r>
        <w:rPr>
          <w:rtl/>
        </w:rPr>
        <w:t xml:space="preserve"> </w:t>
      </w:r>
    </w:p>
    <w:p w:rsidR="008D5CC4" w:rsidRDefault="008D5CC4" w:rsidP="008D5CC4">
      <w:pPr>
        <w:spacing w:line="360" w:lineRule="auto"/>
        <w:ind w:left="720" w:hanging="720"/>
        <w:jc w:val="both"/>
        <w:rPr>
          <w:rtl/>
        </w:rPr>
      </w:pPr>
      <w:r>
        <w:rPr>
          <w:rtl/>
        </w:rPr>
        <w:t>ד.</w:t>
      </w:r>
      <w:r>
        <w:rPr>
          <w:rtl/>
        </w:rPr>
        <w:tab/>
        <w:t xml:space="preserve">זאת ועוד, הנתבעת לא הגישה חוות דעת שמאי נגדית ו/או חוות דעת לפיה שכר הטרחה שנתבע על ידי השמאי הינו מופרז. לפיכך, אף טענות אלה של הנתבעת בנסיבות העניין אודות ההפרזה  בשכר הטרחה היו סתמיות בלבד ובלתי מבוססות. בנקודה זו ראוי להפנות להנחיות משרד האוצר – אגף שוק ההון, ביטוח וחסכון, לפיהם זכאי מבוטח להחזר תשלום ששילם לשמאי עם המצאת חשבונית מס כדין (ראה למשל: רת"ק (חי) 2799-12-08 </w:t>
      </w:r>
      <w:r>
        <w:rPr>
          <w:b/>
          <w:bCs/>
          <w:rtl/>
        </w:rPr>
        <w:t>יעל פלג נ' מנורה חברה לביטוח</w:t>
      </w:r>
      <w:r>
        <w:rPr>
          <w:rtl/>
        </w:rPr>
        <w:t xml:space="preserve"> (פורסם בנבו) 8.2.09; ראה גם </w:t>
      </w:r>
      <w:r>
        <w:rPr>
          <w:b/>
          <w:bCs/>
          <w:rtl/>
        </w:rPr>
        <w:t>הכללים שפורסמו על ידי היחידה לפניות הציבור במשרד המפקח על הביטוח ביום 30.9.1999 סעיפים 3-4</w:t>
      </w:r>
      <w:r>
        <w:rPr>
          <w:rtl/>
        </w:rPr>
        <w:t>).</w:t>
      </w:r>
    </w:p>
    <w:p w:rsidR="008D5CC4" w:rsidRDefault="008D5CC4" w:rsidP="008D5CC4">
      <w:pPr>
        <w:spacing w:line="360" w:lineRule="auto"/>
        <w:ind w:left="720" w:hanging="720"/>
        <w:jc w:val="both"/>
        <w:rPr>
          <w:rtl/>
        </w:rPr>
      </w:pPr>
    </w:p>
    <w:p w:rsidR="008D5CC4" w:rsidRDefault="008D5CC4" w:rsidP="008D5CC4">
      <w:pPr>
        <w:spacing w:line="360" w:lineRule="auto"/>
        <w:ind w:left="720" w:hanging="720"/>
        <w:jc w:val="both"/>
        <w:rPr>
          <w:rtl/>
        </w:rPr>
      </w:pPr>
      <w:r>
        <w:rPr>
          <w:rtl/>
        </w:rPr>
        <w:t>ה.</w:t>
      </w:r>
      <w:r>
        <w:rPr>
          <w:rtl/>
        </w:rPr>
        <w:tab/>
        <w:t xml:space="preserve">כבר נפסק כי העובדה שניתן היה לשלם שכר טרחה נמוך מזה ששולם אילו נתנה חוות דעת כחלק מהסדר עם חברות הביטוח, אינה מובילה בהכרח למסקנה כי מדובר בשכר טרחה חריג, ועל הטוען לשכר חריג להצביע על טווח גובה השכר הנתבע על ידי שמאים וכי השכר הספציפי גבוה באופן משמעותי מהמדרג הגבוה האמור. אדם שניזוק והוא מבוטח, זכאי לקבל את כל נזקיו לרבות ההוצאות שהוציא לצורך הוכחת תביעתו, גם אם טרם ננקט הליך משפטי. סיום הליך לפני משפט אינו מחייב כי הניזוק יישא ולו בחלק מזערי של נזקיו. </w:t>
      </w:r>
    </w:p>
    <w:p w:rsidR="008D5CC4" w:rsidRDefault="008D5CC4" w:rsidP="008D5CC4">
      <w:pPr>
        <w:spacing w:line="360" w:lineRule="auto"/>
        <w:ind w:left="720" w:hanging="720"/>
        <w:jc w:val="both"/>
        <w:rPr>
          <w:rtl/>
        </w:rPr>
      </w:pPr>
    </w:p>
    <w:p w:rsidR="008D5CC4" w:rsidRDefault="008D5CC4" w:rsidP="008D5CC4">
      <w:pPr>
        <w:spacing w:line="360" w:lineRule="auto"/>
        <w:ind w:left="720" w:hanging="720"/>
        <w:jc w:val="both"/>
        <w:rPr>
          <w:rtl/>
        </w:rPr>
      </w:pPr>
      <w:r>
        <w:rPr>
          <w:rtl/>
        </w:rPr>
        <w:t>ו.</w:t>
      </w:r>
      <w:r>
        <w:rPr>
          <w:rtl/>
        </w:rPr>
        <w:tab/>
        <w:t xml:space="preserve">בענייננו השמאי דרש סך של 2,420 ₪ ואושר סך של 1,755 ₪. והנתבעת מגדירה את שכר הטרחה הנדרש כ"מופרז שאין לו כל הצדקה" לעומת הסכום ששולם על ידה, ש"הוא עומד בסטנדרטים ראויים לתשלום". הקושי בטיעון מתגלה מניה וביה : אם סך של 1,755 ₪ הוא סכום סביר גם לשיטת הנתבעת, כיצד הופך סכום הגבוה ממנו בסך של 665 ₪ ל"מופרז בעליל"? </w:t>
      </w:r>
    </w:p>
    <w:p w:rsidR="008D5CC4" w:rsidRDefault="008D5CC4" w:rsidP="008D5CC4">
      <w:pPr>
        <w:spacing w:line="360" w:lineRule="auto"/>
        <w:ind w:left="720" w:hanging="720"/>
        <w:jc w:val="both"/>
        <w:rPr>
          <w:rtl/>
        </w:rPr>
      </w:pPr>
    </w:p>
    <w:p w:rsidR="008D5CC4" w:rsidRDefault="008D5CC4" w:rsidP="008D5CC4">
      <w:pPr>
        <w:spacing w:line="360" w:lineRule="auto"/>
        <w:ind w:left="720" w:hanging="720"/>
        <w:jc w:val="both"/>
        <w:rPr>
          <w:rtl/>
        </w:rPr>
      </w:pPr>
      <w:r>
        <w:rPr>
          <w:rtl/>
        </w:rPr>
        <w:t>ז.</w:t>
      </w:r>
      <w:r>
        <w:rPr>
          <w:rtl/>
        </w:rPr>
        <w:tab/>
        <w:t xml:space="preserve">כאמור טענות סתמיות אין די בהם. אין כל בסיס משפטי לכך שבית המשפט יפסוק כי הסך של 2,420 ₪ הוא "מופרז בעליל", זאת כל עוד לא באו ראיות טובות לעניין זה. חפצה הנתבעת במאבק עקרוני שיחשוף או יטיל דופי בהתנהלותם של התובע והשמאי מטעמו – היה עליה להתכבד ולצרף ראיות מפורטות לרבות חוות דעת מומחה סדורה שתלמד על היות שכר הטרחה מופרז ומופרך כפי טענתה: </w:t>
      </w:r>
      <w:r>
        <w:rPr>
          <w:b/>
          <w:bCs/>
          <w:rtl/>
        </w:rPr>
        <w:t>"כאשר כל שהיא משכילה לטעון הוא שמדובר בסכום "מופרז בעליל", הא ותו לא, אין טענה זאת טובה כקו הגנה יותר מטענה שלפיה מדובר בסכום שהיא מבקשת לקזז ממנו קמעה מתוך תקווה שהתובע, כדרכם של ניזוקים, לא יבחר לגשת לבית המשפט בגין סכום כה פעוט".</w:t>
      </w:r>
      <w:r>
        <w:rPr>
          <w:rtl/>
        </w:rPr>
        <w:t xml:space="preserve"> (ראה עניין וידל הנ"ל). </w:t>
      </w:r>
    </w:p>
    <w:p w:rsidR="008D5CC4" w:rsidRDefault="008D5CC4" w:rsidP="008D5CC4">
      <w:pPr>
        <w:spacing w:line="360" w:lineRule="auto"/>
        <w:ind w:left="720" w:hanging="720"/>
        <w:jc w:val="both"/>
        <w:rPr>
          <w:rtl/>
        </w:rPr>
      </w:pPr>
    </w:p>
    <w:p w:rsidR="008D5CC4" w:rsidRDefault="008D5CC4" w:rsidP="008D5CC4">
      <w:pPr>
        <w:spacing w:line="360" w:lineRule="auto"/>
        <w:ind w:left="720" w:hanging="720"/>
        <w:jc w:val="both"/>
        <w:rPr>
          <w:rtl/>
        </w:rPr>
      </w:pPr>
      <w:r>
        <w:rPr>
          <w:rtl/>
        </w:rPr>
        <w:t>ח.</w:t>
      </w:r>
      <w:r>
        <w:rPr>
          <w:rtl/>
        </w:rPr>
        <w:tab/>
        <w:t xml:space="preserve">אין לי אלא להצטרף לדברים שנקבעו בעניין וידל העוסק בסוגיה דומה לענייננו, שם נקבע כי </w:t>
      </w:r>
      <w:r>
        <w:rPr>
          <w:b/>
          <w:bCs/>
          <w:rtl/>
        </w:rPr>
        <w:t xml:space="preserve">"ככל שחברת הביטוח לא פעלה מראש על מנת לברר את טענות הניזוק, וודאי זה הפרטי, באשר לשכר טרחת השמאי שנאלץ לשאת בו, וככל שאין בידי חברת הביטוח נתונים ונימוקים סדורים שיבססו את סברתה כי שכר הטרחה הוא בלתי סביר עד כדי כך שמצופה מן הניזוק שלא לשלמו ובהתאם סבורה חברת הביטוח שיש להפחית הימנו – תתכבד ותשלם את שכר הטרחה. אין כל מקום לכך שתפחית, שרירותית, חלק משכר </w:t>
      </w:r>
      <w:r>
        <w:rPr>
          <w:b/>
          <w:bCs/>
          <w:rtl/>
        </w:rPr>
        <w:lastRenderedPageBreak/>
        <w:t>הטרחה, בנימוק סתמי שלפיו זהו האומדן "הסביר", כאשר אין לה כל עיגון לסברתה זו".</w:t>
      </w:r>
      <w:r>
        <w:rPr>
          <w:rtl/>
        </w:rPr>
        <w:t xml:space="preserve">  (ראה עניין וידל הנ"ל, פסקה 12).</w:t>
      </w:r>
    </w:p>
    <w:p w:rsidR="008D5CC4" w:rsidRDefault="008D5CC4" w:rsidP="008D5CC4">
      <w:pPr>
        <w:spacing w:line="360" w:lineRule="auto"/>
        <w:ind w:left="720" w:hanging="720"/>
        <w:jc w:val="both"/>
        <w:rPr>
          <w:rtl/>
        </w:rPr>
      </w:pPr>
    </w:p>
    <w:p w:rsidR="008D5CC4" w:rsidRDefault="008D5CC4" w:rsidP="008D5CC4">
      <w:pPr>
        <w:spacing w:line="360" w:lineRule="auto"/>
        <w:ind w:left="720" w:hanging="720"/>
        <w:jc w:val="both"/>
        <w:rPr>
          <w:rtl/>
        </w:rPr>
      </w:pPr>
      <w:r>
        <w:rPr>
          <w:rtl/>
        </w:rPr>
        <w:t>ט.</w:t>
      </w:r>
      <w:r>
        <w:rPr>
          <w:rtl/>
        </w:rPr>
        <w:tab/>
        <w:t xml:space="preserve">אוסיף לציין כי כבר נקבע  בפסקי דין שעסקו בסוגיה זו של קיזוז מרכיב שכר טרחת שמאי על ידי חברות הביטוח לניזוקים כי: </w:t>
      </w:r>
      <w:r>
        <w:rPr>
          <w:b/>
          <w:bCs/>
          <w:rtl/>
        </w:rPr>
        <w:t>"... כאשר רכב של אדם נפגע בתאונה חברות הביטוח מחייבות אותו לפנות לשמאי כדי שיעריך את הנזק, שכן ללא חוות דעת של שמאי אין הם מוכנות לפצות בגין עלות התיקון של הרכב שניזוק. אדם שרכבו ניזוק איננו אמור להכיר את המחירים שגובים השמאים. אין מוטלת עליו חובה לערוך "סקר שווקים" לפני שהוא פונה לשמאי. לא הוא קובע את שכר טרחת השמאי.............. ואין היא יכולה להתנער מחובתה זו, גם אם ניתן היה אולי למצוא שמאים שהיו גובים סכום נמוך יותר."</w:t>
      </w:r>
      <w:r>
        <w:rPr>
          <w:rtl/>
        </w:rPr>
        <w:t xml:space="preserve"> (ראה </w:t>
      </w:r>
      <w:r>
        <w:rPr>
          <w:rtl/>
        </w:rPr>
        <w:br/>
        <w:t xml:space="preserve">ת"ק 658-04-09 </w:t>
      </w:r>
      <w:r>
        <w:rPr>
          <w:b/>
          <w:bCs/>
          <w:rtl/>
        </w:rPr>
        <w:t>נסימי נ' הראל חברה לביטוח</w:t>
      </w:r>
      <w:r>
        <w:rPr>
          <w:rtl/>
        </w:rPr>
        <w:t>, פורסם בנבו).</w:t>
      </w:r>
    </w:p>
    <w:p w:rsidR="008D5CC4" w:rsidRDefault="008D5CC4" w:rsidP="008D5CC4">
      <w:pPr>
        <w:spacing w:line="360" w:lineRule="auto"/>
        <w:ind w:left="720" w:hanging="720"/>
        <w:jc w:val="both"/>
        <w:rPr>
          <w:rtl/>
        </w:rPr>
      </w:pPr>
    </w:p>
    <w:p w:rsidR="008D5CC4" w:rsidRDefault="008D5CC4" w:rsidP="008D5CC4">
      <w:pPr>
        <w:spacing w:line="360" w:lineRule="auto"/>
        <w:ind w:left="720" w:hanging="720"/>
        <w:jc w:val="both"/>
        <w:rPr>
          <w:rtl/>
        </w:rPr>
      </w:pPr>
      <w:r>
        <w:rPr>
          <w:rtl/>
        </w:rPr>
        <w:t>י.</w:t>
      </w:r>
      <w:r>
        <w:rPr>
          <w:rtl/>
        </w:rPr>
        <w:tab/>
        <w:t xml:space="preserve">באשר לפעולות שביצע השמאי במקרה דנן יצוין כי השמאי העיד שהוא הגיע מירושלים למוסך שנמצא בראשון לציון שלוש פעמים, וכן העיד אודות הרכיבים בגינם מחויב לקוח פרטי בעת עריכת חוות דעת, לרבות שימוש בתוכנה, פעולות לקביעת ירידת ערך, הוצאות גבייה וכדומה. </w:t>
      </w:r>
    </w:p>
    <w:p w:rsidR="008D5CC4" w:rsidRDefault="008D5CC4" w:rsidP="008D5CC4">
      <w:pPr>
        <w:spacing w:line="360" w:lineRule="auto"/>
        <w:ind w:left="720" w:hanging="720"/>
        <w:jc w:val="both"/>
        <w:rPr>
          <w:rtl/>
        </w:rPr>
      </w:pPr>
    </w:p>
    <w:p w:rsidR="008D5CC4" w:rsidRDefault="008D5CC4" w:rsidP="008D5CC4">
      <w:pPr>
        <w:spacing w:line="360" w:lineRule="auto"/>
        <w:ind w:left="720" w:hanging="720"/>
        <w:jc w:val="both"/>
        <w:rPr>
          <w:rtl/>
        </w:rPr>
      </w:pPr>
      <w:r>
        <w:rPr>
          <w:rtl/>
        </w:rPr>
        <w:t>יא.</w:t>
      </w:r>
      <w:r>
        <w:rPr>
          <w:rtl/>
        </w:rPr>
        <w:tab/>
        <w:t xml:space="preserve">בהתאם לכל האמור הרי שיש לקבל את התביעה במלואה לעניין הפרש שכר הטרחה שקוזז באופן שרירותי בסך של 665 ₪. </w:t>
      </w:r>
    </w:p>
    <w:p w:rsidR="008D5CC4" w:rsidRDefault="008D5CC4" w:rsidP="008D5CC4">
      <w:pPr>
        <w:spacing w:line="360" w:lineRule="auto"/>
        <w:ind w:left="720" w:hanging="720"/>
        <w:jc w:val="both"/>
        <w:rPr>
          <w:rtl/>
        </w:rPr>
      </w:pPr>
    </w:p>
    <w:p w:rsidR="008D5CC4" w:rsidRDefault="008D5CC4" w:rsidP="008D5CC4">
      <w:pPr>
        <w:spacing w:line="360" w:lineRule="auto"/>
        <w:ind w:left="720" w:hanging="720"/>
        <w:jc w:val="both"/>
        <w:rPr>
          <w:rtl/>
        </w:rPr>
      </w:pPr>
      <w:r>
        <w:rPr>
          <w:rtl/>
        </w:rPr>
        <w:t>יב.</w:t>
      </w:r>
      <w:r>
        <w:rPr>
          <w:rtl/>
        </w:rPr>
        <w:tab/>
        <w:t xml:space="preserve">באשר לשאלת ההוצאות, עתר ב"כ התובע בסיכומיו לפסיקת הוצאות מוגברות כאשר בתיק זה התקיימו שלושה דיונים והנתבעת עמדה על חקירת התובע והשמאי חרף העובדה שנמצא כי לא היו בידה כל ראיות לסתור את גובה הסכום ששולם על ידי התובע בהתאם לדרישת השמאי והקבלה הוצגה לה עוד במסגרת הדיון שהתקיים ביום 1.6.22. עוד יש לציין כי במסגרת הדיון האמור , שיקף בית המשפט לפרוטוקול את ההלכות הנהוגות בסוגיה זו כפי שהדבר בא לידי ביטוי בעמוד 1 לפרוטוקול שורות 13-25, תוך שבית המשפט הדגיש את סכום ההפרש שנותר לתשלום ואת השיקול של הזמן השיפוטי הנדרש לצורך קביעת התיק להוכחות.  הנתבעת כאמור עמדה על טענתה כי היא מבקשת לנהל הליך הוכחות ולחקור את השמאי ואת התובע. </w:t>
      </w:r>
    </w:p>
    <w:p w:rsidR="008D5CC4" w:rsidRDefault="008D5CC4" w:rsidP="008D5CC4">
      <w:pPr>
        <w:spacing w:line="360" w:lineRule="auto"/>
        <w:ind w:left="720" w:hanging="720"/>
        <w:jc w:val="both"/>
        <w:rPr>
          <w:rtl/>
        </w:rPr>
      </w:pPr>
      <w:bookmarkStart w:id="1" w:name="_GoBack"/>
      <w:bookmarkEnd w:id="1"/>
      <w:r>
        <w:rPr>
          <w:rtl/>
        </w:rPr>
        <w:t>יג.</w:t>
      </w:r>
      <w:r>
        <w:rPr>
          <w:rtl/>
        </w:rPr>
        <w:tab/>
        <w:t xml:space="preserve">סבורני כי יש מקום בנסיבות העניין בהם הנתבעת מצאה לנכון למצות עד תום את ההליך ולהאריך את בירורו, מקום שנמצא כי הדבר היה שלא לצורך, כי בית המשפט יעשה שימוש בסמכותו ויחייב את הנתבעת בהוצאות לטובת אוצר המדינה ולא רק בהוצאות הצד שכנגד.  </w:t>
      </w:r>
    </w:p>
    <w:p w:rsidR="008D5CC4" w:rsidRDefault="008D5CC4" w:rsidP="008D5CC4">
      <w:pPr>
        <w:spacing w:line="360" w:lineRule="auto"/>
        <w:ind w:left="720" w:hanging="720"/>
        <w:jc w:val="both"/>
        <w:rPr>
          <w:rtl/>
        </w:rPr>
      </w:pPr>
    </w:p>
    <w:p w:rsidR="008D5CC4" w:rsidRDefault="008D5CC4" w:rsidP="008D5CC4">
      <w:pPr>
        <w:spacing w:line="360" w:lineRule="auto"/>
        <w:ind w:left="720" w:hanging="720"/>
        <w:jc w:val="both"/>
        <w:rPr>
          <w:rtl/>
        </w:rPr>
      </w:pPr>
      <w:r>
        <w:rPr>
          <w:rtl/>
        </w:rPr>
        <w:t>יד.</w:t>
      </w:r>
      <w:r>
        <w:rPr>
          <w:rtl/>
        </w:rPr>
        <w:tab/>
        <w:t xml:space="preserve">הזמן השיפוטי הינו זמנו של הציבור בכללותו וחיסכון בזמן שיפוטי הינו אינטרס ציבורי מובהק. ניתן לומר שזו זכותה של הנתבעת לעמוד על חקירת השמאי והתובע בנסיבות העניין, אלא שלהארכת הדיון שלא לצורך ישנו מחיר המשקף את השחתת זמנו של בית המשפט שכאמור אינו אלא זמנם של מתדיינים אחרים הממתינים לתורם. בגין אלה, מצאתי לחייב את הנתבעת בהוצאות לטובת אוצר המדינה. </w:t>
      </w:r>
    </w:p>
    <w:p w:rsidR="008D5CC4" w:rsidRDefault="008D5CC4" w:rsidP="008D5CC4">
      <w:pPr>
        <w:spacing w:line="360" w:lineRule="auto"/>
        <w:ind w:left="720" w:hanging="720"/>
        <w:jc w:val="both"/>
        <w:rPr>
          <w:rtl/>
        </w:rPr>
      </w:pPr>
    </w:p>
    <w:p w:rsidR="008D5CC4" w:rsidRDefault="008D5CC4" w:rsidP="008D5CC4">
      <w:pPr>
        <w:spacing w:line="360" w:lineRule="auto"/>
        <w:ind w:left="720" w:hanging="720"/>
        <w:jc w:val="both"/>
        <w:rPr>
          <w:rtl/>
        </w:rPr>
      </w:pPr>
      <w:r>
        <w:rPr>
          <w:rtl/>
        </w:rPr>
        <w:lastRenderedPageBreak/>
        <w:t>10.</w:t>
      </w:r>
      <w:r>
        <w:rPr>
          <w:rtl/>
        </w:rPr>
        <w:tab/>
        <w:t xml:space="preserve">אשר על כן, ובהתאם לכל האמור לעיל, אני מחייבת את הנתבעת לשלם לתובע סך ההפרש שקוזז משכר טרחת השמאי בסך 665 ₪, שכר השמאי כפי שנפסק על ידי בסך של 1,000 ₪ בצירוף מע"מ, הוצאות התובע בסך 500 ₪, אגרות כפי ששולמו בסך של 780 ₪ , שכר טרחת עו"ד בסך כולל של 2,500 ₪ וכן הוצאות לטובת אוצר המדינה בסך של 2,500 ₪.  </w:t>
      </w:r>
    </w:p>
    <w:p w:rsidR="008D5CC4" w:rsidRDefault="008D5CC4" w:rsidP="008D5CC4">
      <w:pPr>
        <w:spacing w:line="360" w:lineRule="auto"/>
        <w:ind w:left="720" w:hanging="720"/>
        <w:jc w:val="both"/>
        <w:rPr>
          <w:rtl/>
        </w:rPr>
      </w:pPr>
    </w:p>
    <w:p w:rsidR="008D5CC4" w:rsidRDefault="008D5CC4" w:rsidP="008D5CC4">
      <w:pPr>
        <w:spacing w:line="360" w:lineRule="auto"/>
        <w:ind w:left="720"/>
        <w:jc w:val="both"/>
        <w:rPr>
          <w:rtl/>
        </w:rPr>
      </w:pPr>
      <w:r>
        <w:rPr>
          <w:rtl/>
        </w:rPr>
        <w:t xml:space="preserve">התשלום בתוך 30 ימים מהיום. </w:t>
      </w:r>
    </w:p>
    <w:p w:rsidR="008D5CC4" w:rsidRDefault="008D5CC4" w:rsidP="008D5CC4">
      <w:pPr>
        <w:spacing w:line="360" w:lineRule="auto"/>
        <w:rPr>
          <w:rtl/>
        </w:rPr>
      </w:pPr>
    </w:p>
    <w:p w:rsidR="008D5CC4" w:rsidRPr="00C770E3" w:rsidRDefault="008D5CC4" w:rsidP="000815AE">
      <w:pPr>
        <w:spacing w:line="360" w:lineRule="auto"/>
        <w:rPr>
          <w:rFonts w:ascii="Arial" w:hAnsi="Arial"/>
          <w:noProof w:val="0"/>
          <w:rtl/>
        </w:rPr>
      </w:pPr>
      <w:r>
        <w:rPr>
          <w:rtl/>
        </w:rPr>
        <w:tab/>
        <w:t xml:space="preserve">זכות ערעור כדין. </w:t>
      </w:r>
    </w:p>
    <w:p w:rsidR="008D5CC4" w:rsidRDefault="008D5CC4" w:rsidP="008D5CC4">
      <w:pPr>
        <w:spacing w:line="360" w:lineRule="auto"/>
        <w:jc w:val="both"/>
        <w:rPr>
          <w:rFonts w:ascii="Arial" w:hAnsi="Arial"/>
          <w:noProof w:val="0"/>
          <w:rtl/>
        </w:rPr>
      </w:pPr>
      <w:r>
        <w:rPr>
          <w:rFonts w:ascii="Arial" w:hAnsi="Arial"/>
          <w:noProof w:val="0"/>
          <w:rtl/>
        </w:rPr>
        <w:t>נית</w:t>
      </w:r>
      <w:r>
        <w:rPr>
          <w:rFonts w:ascii="Arial" w:hAnsi="Arial" w:hint="cs"/>
          <w:noProof w:val="0"/>
          <w:rtl/>
        </w:rPr>
        <w:t>ן</w:t>
      </w:r>
      <w:r>
        <w:rPr>
          <w:rFonts w:ascii="Arial" w:hAnsi="Arial"/>
          <w:noProof w:val="0"/>
          <w:rtl/>
        </w:rPr>
        <w:t xml:space="preserve"> היום, </w:t>
      </w:r>
      <w:sdt>
        <w:sdtPr>
          <w:rPr>
            <w:rtl/>
          </w:rPr>
          <w:alias w:val="1455"/>
          <w:tag w:val="1455"/>
          <w:id w:val="1666048407"/>
          <w:text w:multiLine="1"/>
        </w:sdtPr>
        <w:sdtContent>
          <w:r>
            <w:rPr>
              <w:rFonts w:ascii="Arial" w:hAnsi="Arial"/>
              <w:noProof w:val="0"/>
              <w:rtl/>
            </w:rPr>
            <w:t>כ"ב שבט תשפ"ג</w:t>
          </w:r>
        </w:sdtContent>
      </w:sdt>
      <w:r>
        <w:rPr>
          <w:rFonts w:ascii="Arial" w:hAnsi="Arial"/>
          <w:noProof w:val="0"/>
          <w:rtl/>
        </w:rPr>
        <w:t xml:space="preserve">, </w:t>
      </w:r>
      <w:sdt>
        <w:sdtPr>
          <w:rPr>
            <w:rtl/>
          </w:rPr>
          <w:alias w:val="1456"/>
          <w:tag w:val="1456"/>
          <w:id w:val="-1186288958"/>
          <w:text w:multiLine="1"/>
        </w:sdtPr>
        <w:sdtContent>
          <w:r>
            <w:rPr>
              <w:rFonts w:ascii="Arial" w:hAnsi="Arial"/>
              <w:noProof w:val="0"/>
              <w:rtl/>
            </w:rPr>
            <w:t>13 פברואר 2023</w:t>
          </w:r>
        </w:sdtContent>
      </w:sdt>
      <w:r>
        <w:rPr>
          <w:rFonts w:ascii="Arial" w:hAnsi="Arial"/>
          <w:noProof w:val="0"/>
          <w:rtl/>
        </w:rPr>
        <w:t>, בהעדר הצדדים.</w:t>
      </w:r>
    </w:p>
    <w:p w:rsidR="008D5CC4" w:rsidRDefault="008D5CC4" w:rsidP="008D5CC4">
      <w:pPr>
        <w:tabs>
          <w:tab w:val="left" w:pos="2553"/>
        </w:tabs>
        <w:ind w:left="5040"/>
        <w:rPr>
          <w:rtl/>
        </w:rPr>
      </w:pPr>
      <w:sdt>
        <w:sdtPr>
          <w:rPr>
            <w:rFonts w:hint="cs"/>
            <w:rtl/>
          </w:rPr>
          <w:alias w:val="2045"/>
          <w:tag w:val="2045"/>
          <w:id w:val="740689340"/>
          <w:placeholder>
            <w:docPart w:val="4DBDFA8970DC4E53B543FEC778FA4653"/>
          </w:placeholder>
          <w:showingPlcHdr/>
          <w:text w:multiLine="1"/>
        </w:sdtPr>
        <w:sdtContent>
          <w:r>
            <w:rPr>
              <w:rFonts w:hint="cs"/>
              <w:rtl/>
            </w:rPr>
            <w:t xml:space="preserve">     </w:t>
          </w:r>
        </w:sdtContent>
      </w:sdt>
    </w:p>
    <w:p w:rsidR="008D5CC4" w:rsidRDefault="008D5CC4" w:rsidP="008D5CC4">
      <w:pPr>
        <w:tabs>
          <w:tab w:val="left" w:pos="2553"/>
        </w:tabs>
      </w:pPr>
      <w:r>
        <w:rPr>
          <w:rFonts w:hint="cs"/>
          <w:rtl/>
        </w:rPr>
        <w:tab/>
      </w:r>
      <w:r>
        <w:rPr>
          <w:rFonts w:hint="cs"/>
          <w:rtl/>
        </w:rPr>
        <w:tab/>
      </w:r>
      <w:r>
        <w:rPr>
          <w:rFonts w:hint="cs"/>
          <w:rtl/>
        </w:rPr>
        <w:tab/>
      </w:r>
      <w:r>
        <w:rPr>
          <w:rFonts w:hint="cs"/>
          <w:rtl/>
        </w:rPr>
        <w:tab/>
        <w:t xml:space="preserve">        </w:t>
      </w:r>
      <w:sdt>
        <w:sdtPr>
          <w:rPr>
            <w:rtl/>
          </w:rPr>
          <w:alias w:val="MergeField"/>
          <w:tag w:val="1237"/>
          <w:id w:val="1598289212"/>
        </w:sdtPr>
        <w:sdtContent>
          <w:r>
            <w:drawing>
              <wp:inline distT="0" distB="0" distL="0" distR="0" wp14:anchorId="1D1E7A06" wp14:editId="353C0069">
                <wp:extent cx="2238375" cy="110490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1237.jpg"/>
                        <pic:cNvPicPr/>
                      </pic:nvPicPr>
                      <pic:blipFill>
                        <a:blip r:embed="rId7" cstate="print">
                          <a:extLst/>
                        </a:blip>
                        <a:stretch>
                          <a:fillRect/>
                        </a:stretch>
                      </pic:blipFill>
                      <pic:spPr>
                        <a:xfrm>
                          <a:off x="0" y="0"/>
                          <a:ext cx="2238375" cy="1104900"/>
                        </a:xfrm>
                        <a:prstGeom prst="rect">
                          <a:avLst/>
                        </a:prstGeom>
                      </pic:spPr>
                    </pic:pic>
                  </a:graphicData>
                </a:graphic>
              </wp:inline>
            </w:drawing>
          </w:r>
        </w:sdtContent>
      </w:sdt>
    </w:p>
    <w:p w:rsidR="008D5CC4" w:rsidRDefault="008D5CC4" w:rsidP="008D5CC4">
      <w:pPr>
        <w:tabs>
          <w:tab w:val="left" w:pos="2553"/>
        </w:tabs>
        <w:rPr>
          <w:rFonts w:ascii="Arial" w:hAnsi="Arial"/>
          <w:noProof w:val="0"/>
          <w:rtl/>
        </w:rPr>
      </w:pPr>
    </w:p>
    <w:p w:rsidR="00002AC3" w:rsidRDefault="00002AC3"/>
    <w:sectPr w:rsidR="00002AC3" w:rsidSect="0088602A">
      <w:pgSz w:w="11906" w:h="16838"/>
      <w:pgMar w:top="1440" w:right="1800" w:bottom="1440" w:left="1800" w:header="720" w:footer="720" w:gutter="0"/>
      <w:cols w:space="720"/>
      <w:bidi/>
      <w:rtlGutter/>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F61C8" w:rsidRDefault="009F61C8" w:rsidP="008D5CC4">
      <w:r>
        <w:separator/>
      </w:r>
    </w:p>
  </w:endnote>
  <w:endnote w:type="continuationSeparator" w:id="0">
    <w:p w:rsidR="009F61C8" w:rsidRDefault="009F61C8" w:rsidP="008D5CC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EFF" w:usb1="C0007843" w:usb2="00000009" w:usb3="00000000" w:csb0="000001FF" w:csb1="00000000"/>
  </w:font>
  <w:font w:name="David">
    <w:panose1 w:val="020E0502060401010101"/>
    <w:charset w:val="B1"/>
    <w:family w:val="swiss"/>
    <w:pitch w:val="variable"/>
    <w:sig w:usb0="00000801" w:usb1="00000000" w:usb2="00000000" w:usb3="00000000" w:csb0="00000020" w:csb1="00000000"/>
  </w:font>
  <w:font w:name="FrankRuehl">
    <w:panose1 w:val="020E0503060101010101"/>
    <w:charset w:val="B1"/>
    <w:family w:val="swiss"/>
    <w:pitch w:val="variable"/>
    <w:sig w:usb0="00000801" w:usb1="00000000" w:usb2="00000000" w:usb3="00000000" w:csb0="00000020"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F61C8" w:rsidRDefault="009F61C8" w:rsidP="008D5CC4">
      <w:r>
        <w:separator/>
      </w:r>
    </w:p>
  </w:footnote>
  <w:footnote w:type="continuationSeparator" w:id="0">
    <w:p w:rsidR="009F61C8" w:rsidRDefault="009F61C8" w:rsidP="008D5CC4">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43"/>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066BC"/>
    <w:rsid w:val="00002AC3"/>
    <w:rsid w:val="000815AE"/>
    <w:rsid w:val="007066BC"/>
    <w:rsid w:val="0088602A"/>
    <w:rsid w:val="008D5CC4"/>
    <w:rsid w:val="009F61C8"/>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4B29ADA"/>
  <w15:chartTrackingRefBased/>
  <w15:docId w15:val="{06D3C4A5-90AC-4048-91C0-138C4D22067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he-IL"/>
      </w:rPr>
    </w:rPrDefault>
    <w:pPrDefault>
      <w:pPr>
        <w:bidi/>
        <w:spacing w:line="360" w:lineRule="auto"/>
        <w:jc w:val="both"/>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8D5CC4"/>
    <w:pPr>
      <w:spacing w:line="240" w:lineRule="auto"/>
      <w:jc w:val="left"/>
    </w:pPr>
    <w:rPr>
      <w:rFonts w:ascii="Times New Roman" w:eastAsia="Times New Roman" w:hAnsi="Times New Roman" w:cs="David"/>
      <w:noProof/>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rsid w:val="008D5CC4"/>
    <w:pPr>
      <w:spacing w:line="240" w:lineRule="auto"/>
      <w:jc w:val="left"/>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rsid w:val="008D5CC4"/>
    <w:pPr>
      <w:tabs>
        <w:tab w:val="center" w:pos="4153"/>
        <w:tab w:val="right" w:pos="8306"/>
      </w:tabs>
    </w:pPr>
  </w:style>
  <w:style w:type="character" w:customStyle="1" w:styleId="a5">
    <w:name w:val="כותרת עליונה תו"/>
    <w:basedOn w:val="a0"/>
    <w:link w:val="a4"/>
    <w:rsid w:val="008D5CC4"/>
    <w:rPr>
      <w:rFonts w:ascii="Times New Roman" w:eastAsia="Times New Roman" w:hAnsi="Times New Roman" w:cs="David"/>
      <w:noProof/>
      <w:sz w:val="24"/>
      <w:szCs w:val="24"/>
    </w:rPr>
  </w:style>
  <w:style w:type="paragraph" w:styleId="a6">
    <w:name w:val="footer"/>
    <w:basedOn w:val="a"/>
    <w:link w:val="a7"/>
    <w:uiPriority w:val="99"/>
    <w:unhideWhenUsed/>
    <w:rsid w:val="008D5CC4"/>
    <w:pPr>
      <w:tabs>
        <w:tab w:val="center" w:pos="4153"/>
        <w:tab w:val="right" w:pos="8306"/>
      </w:tabs>
    </w:pPr>
  </w:style>
  <w:style w:type="character" w:customStyle="1" w:styleId="a7">
    <w:name w:val="כותרת תחתונה תו"/>
    <w:basedOn w:val="a0"/>
    <w:link w:val="a6"/>
    <w:uiPriority w:val="99"/>
    <w:rsid w:val="008D5CC4"/>
    <w:rPr>
      <w:rFonts w:ascii="Times New Roman" w:eastAsia="Times New Roman" w:hAnsi="Times New Roman" w:cs="David"/>
      <w:noProof/>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image" Target="media/image2.jp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glossaryDocument" Target="glossary/document.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3041BBA61E714FECBB0D80574A3D2F9F"/>
        <w:category>
          <w:name w:val="כללי"/>
          <w:gallery w:val="placeholder"/>
        </w:category>
        <w:types>
          <w:type w:val="bbPlcHdr"/>
        </w:types>
        <w:behaviors>
          <w:behavior w:val="content"/>
        </w:behaviors>
        <w:guid w:val="{699049CF-495D-45F2-8D34-A56E77B80852}"/>
      </w:docPartPr>
      <w:docPartBody>
        <w:p w:rsidR="009D2688" w:rsidRDefault="009D2688" w:rsidP="009D2688">
          <w:pPr>
            <w:pStyle w:val="3041BBA61E714FECBB0D80574A3D2F9F"/>
          </w:pPr>
          <w:r w:rsidRPr="007C2453">
            <w:rPr>
              <w:rFonts w:ascii="Arial" w:hAnsi="Arial" w:hint="eastAsia"/>
              <w:b/>
              <w:bCs/>
              <w:sz w:val="26"/>
              <w:szCs w:val="26"/>
              <w:rtl/>
            </w:rPr>
            <w:t>שם</w:t>
          </w:r>
          <w:r w:rsidRPr="007C2453">
            <w:rPr>
              <w:rFonts w:ascii="Arial" w:hAnsi="Arial"/>
              <w:b/>
              <w:bCs/>
              <w:sz w:val="26"/>
              <w:szCs w:val="26"/>
              <w:rtl/>
            </w:rPr>
            <w:t xml:space="preserve"> צד א' ללא שם של חסוי</w:t>
          </w:r>
        </w:p>
      </w:docPartBody>
    </w:docPart>
    <w:docPart>
      <w:docPartPr>
        <w:name w:val="67D70115CE854099BF99989A39131CC4"/>
        <w:category>
          <w:name w:val="כללי"/>
          <w:gallery w:val="placeholder"/>
        </w:category>
        <w:types>
          <w:type w:val="bbPlcHdr"/>
        </w:types>
        <w:behaviors>
          <w:behavior w:val="content"/>
        </w:behaviors>
        <w:guid w:val="{2647E959-D4DC-4283-82AE-21F69233DB7C}"/>
      </w:docPartPr>
      <w:docPartBody>
        <w:p w:rsidR="009D2688" w:rsidRDefault="009D2688" w:rsidP="009D2688">
          <w:pPr>
            <w:pStyle w:val="67D70115CE854099BF99989A39131CC4"/>
          </w:pPr>
          <w:r>
            <w:rPr>
              <w:rFonts w:ascii="Arial" w:hAnsi="Arial" w:hint="eastAsia"/>
              <w:b/>
              <w:bCs/>
              <w:sz w:val="26"/>
              <w:szCs w:val="26"/>
              <w:rtl/>
            </w:rPr>
            <w:t>שם</w:t>
          </w:r>
          <w:r>
            <w:rPr>
              <w:rFonts w:ascii="Arial" w:hAnsi="Arial"/>
              <w:b/>
              <w:bCs/>
              <w:sz w:val="26"/>
              <w:szCs w:val="26"/>
              <w:rtl/>
            </w:rPr>
            <w:t xml:space="preserve"> צד ב' ללא שם של חסוי</w:t>
          </w:r>
        </w:p>
      </w:docPartBody>
    </w:docPart>
    <w:docPart>
      <w:docPartPr>
        <w:name w:val="4DBDFA8970DC4E53B543FEC778FA4653"/>
        <w:category>
          <w:name w:val="כללי"/>
          <w:gallery w:val="placeholder"/>
        </w:category>
        <w:types>
          <w:type w:val="bbPlcHdr"/>
        </w:types>
        <w:behaviors>
          <w:behavior w:val="content"/>
        </w:behaviors>
        <w:guid w:val="{C4867032-4529-4342-8608-212B04EDD829}"/>
      </w:docPartPr>
      <w:docPartBody>
        <w:p w:rsidR="009D2688" w:rsidRDefault="009D2688" w:rsidP="009D2688">
          <w:pPr>
            <w:pStyle w:val="4DBDFA8970DC4E53B543FEC778FA4653"/>
          </w:pPr>
          <w:r>
            <w:rPr>
              <w:rFonts w:hint="cs"/>
              <w:rtl/>
            </w:rPr>
            <w:t xml:space="preserve">     </w:t>
          </w:r>
        </w:p>
      </w:docPartBody>
    </w:docPart>
    <w:docPart>
      <w:docPartPr>
        <w:name w:val="64DEE5451BF144DB8CAAC8785C6E1858"/>
        <w:category>
          <w:name w:val="כללי"/>
          <w:gallery w:val="placeholder"/>
        </w:category>
        <w:types>
          <w:type w:val="bbPlcHdr"/>
        </w:types>
        <w:behaviors>
          <w:behavior w:val="content"/>
        </w:behaviors>
        <w:guid w:val="{F4FA878D-6E3A-4C5D-9F01-06EF58FBF8A7}"/>
      </w:docPartPr>
      <w:docPartBody>
        <w:p w:rsidR="009D2688" w:rsidRDefault="009D2688" w:rsidP="009D2688">
          <w:pPr>
            <w:pStyle w:val="64DEE5451BF144DB8CAAC8785C6E1858"/>
          </w:pPr>
          <w:r>
            <w:rPr>
              <w:b/>
              <w:bCs/>
              <w:sz w:val="26"/>
              <w:szCs w:val="26"/>
              <w:rtl/>
            </w:rPr>
            <w:t>שם תיק ללא שמות חסויים</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EFF" w:usb1="C0007843" w:usb2="00000009" w:usb3="00000000" w:csb0="000001FF" w:csb1="00000000"/>
  </w:font>
  <w:font w:name="David">
    <w:panose1 w:val="020E0502060401010101"/>
    <w:charset w:val="B1"/>
    <w:family w:val="swiss"/>
    <w:pitch w:val="variable"/>
    <w:sig w:usb0="00000801" w:usb1="00000000" w:usb2="00000000" w:usb3="00000000" w:csb0="00000020" w:csb1="00000000"/>
  </w:font>
  <w:font w:name="FrankRuehl">
    <w:panose1 w:val="020E0503060101010101"/>
    <w:charset w:val="B1"/>
    <w:family w:val="swiss"/>
    <w:pitch w:val="variable"/>
    <w:sig w:usb0="00000801" w:usb1="00000000" w:usb2="00000000" w:usb3="00000000" w:csb0="00000020"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A00002EF" w:usb1="4000207B"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D2688"/>
    <w:rsid w:val="009D2688"/>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en-US" w:bidi="he-IL"/>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bidi/>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3041BBA61E714FECBB0D80574A3D2F9F">
    <w:name w:val="3041BBA61E714FECBB0D80574A3D2F9F"/>
    <w:rsid w:val="009D2688"/>
    <w:pPr>
      <w:bidi/>
    </w:pPr>
  </w:style>
  <w:style w:type="paragraph" w:customStyle="1" w:styleId="67D70115CE854099BF99989A39131CC4">
    <w:name w:val="67D70115CE854099BF99989A39131CC4"/>
    <w:rsid w:val="009D2688"/>
    <w:pPr>
      <w:bidi/>
    </w:pPr>
  </w:style>
  <w:style w:type="paragraph" w:customStyle="1" w:styleId="7BAE6C17851E4A51BF8E400BDC10814B">
    <w:name w:val="7BAE6C17851E4A51BF8E400BDC10814B"/>
    <w:rsid w:val="009D2688"/>
    <w:pPr>
      <w:bidi/>
    </w:pPr>
  </w:style>
  <w:style w:type="paragraph" w:customStyle="1" w:styleId="7D78E67DB9B144899183E54009AB678D">
    <w:name w:val="7D78E67DB9B144899183E54009AB678D"/>
    <w:rsid w:val="009D2688"/>
    <w:pPr>
      <w:bidi/>
    </w:pPr>
  </w:style>
  <w:style w:type="paragraph" w:customStyle="1" w:styleId="4DBDFA8970DC4E53B543FEC778FA4653">
    <w:name w:val="4DBDFA8970DC4E53B543FEC778FA4653"/>
    <w:rsid w:val="009D2688"/>
    <w:pPr>
      <w:bidi/>
    </w:pPr>
  </w:style>
  <w:style w:type="paragraph" w:customStyle="1" w:styleId="64DEE5451BF144DB8CAAC8785C6E1858">
    <w:name w:val="64DEE5451BF144DB8CAAC8785C6E1858"/>
    <w:rsid w:val="009D2688"/>
    <w:pPr>
      <w:bidi/>
    </w:pPr>
  </w:style>
  <w:style w:type="paragraph" w:customStyle="1" w:styleId="863A7D22046B4758A35DC5ED2B2C0543">
    <w:name w:val="863A7D22046B4758A35DC5ED2B2C0543"/>
    <w:rsid w:val="009D2688"/>
    <w:pPr>
      <w:bidi/>
    </w:p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ערכת נושא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TotalTime>
  <Pages>5</Pages>
  <Words>1525</Words>
  <Characters>7629</Characters>
  <Application>Microsoft Office Word</Application>
  <DocSecurity>0</DocSecurity>
  <Lines>63</Lines>
  <Paragraphs>18</Paragraphs>
  <ScaleCrop>false</ScaleCrop>
  <HeadingPairs>
    <vt:vector size="2" baseType="variant">
      <vt:variant>
        <vt:lpstr>שם</vt:lpstr>
      </vt:variant>
      <vt:variant>
        <vt:i4>1</vt:i4>
      </vt:variant>
    </vt:vector>
  </HeadingPairs>
  <TitlesOfParts>
    <vt:vector size="1" baseType="lpstr">
      <vt:lpstr/>
    </vt:vector>
  </TitlesOfParts>
  <Company/>
  <LinksUpToDate>false</LinksUpToDate>
  <CharactersWithSpaces>9136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Haim Kalir</dc:creator>
  <cp:keywords/>
  <dc:description/>
  <cp:lastModifiedBy>Haim Kalir</cp:lastModifiedBy>
  <cp:revision>2</cp:revision>
  <dcterms:created xsi:type="dcterms:W3CDTF">2023-03-05T06:52:00Z</dcterms:created>
  <dcterms:modified xsi:type="dcterms:W3CDTF">2023-03-05T06:56:00Z</dcterms:modified>
</cp:coreProperties>
</file>