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0CD6" w:rsidRDefault="00230CD6" w:rsidP="00230CD6">
      <w:pPr>
        <w:suppressLineNumbers/>
        <w:rPr>
          <w:rtl/>
        </w:rPr>
      </w:pPr>
    </w:p>
    <w:tbl>
      <w:tblPr>
        <w:tblStyle w:val="a7"/>
        <w:bidiVisual/>
        <w:tblW w:w="88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743"/>
        <w:gridCol w:w="1698"/>
        <w:gridCol w:w="6379"/>
      </w:tblGrid>
      <w:tr w:rsidR="00230CD6" w:rsidTr="002033BD">
        <w:trPr>
          <w:jc w:val="center"/>
        </w:trPr>
        <w:tc>
          <w:tcPr>
            <w:tcW w:w="743" w:type="dxa"/>
          </w:tcPr>
          <w:p w:rsidR="00230CD6" w:rsidRDefault="00230CD6" w:rsidP="002033BD">
            <w:pPr>
              <w:jc w:val="both"/>
              <w:rPr>
                <w:rFonts w:ascii="Arial" w:hAnsi="Arial"/>
                <w:b/>
                <w:bCs/>
              </w:rPr>
            </w:pPr>
            <w:r>
              <w:rPr>
                <w:rFonts w:ascii="Arial" w:hAnsi="Arial" w:hint="cs"/>
                <w:b/>
                <w:bCs/>
                <w:rtl/>
              </w:rPr>
              <w:t>ל</w:t>
            </w:r>
            <w:r>
              <w:rPr>
                <w:rFonts w:ascii="Arial" w:hAnsi="Arial"/>
                <w:b/>
                <w:bCs/>
                <w:rtl/>
              </w:rPr>
              <w:t xml:space="preserve">פני </w:t>
            </w:r>
          </w:p>
        </w:tc>
        <w:tc>
          <w:tcPr>
            <w:tcW w:w="8077" w:type="dxa"/>
            <w:gridSpan w:val="2"/>
          </w:tcPr>
          <w:p w:rsidR="00230CD6" w:rsidRPr="00E512AB" w:rsidRDefault="00230CD6" w:rsidP="002033BD">
            <w:pPr>
              <w:rPr>
                <w:highlight w:val="yellow"/>
              </w:rPr>
            </w:pPr>
            <w:r>
              <w:rPr>
                <w:rFonts w:ascii="Arial" w:hAnsi="Arial" w:hint="cs"/>
                <w:b/>
                <w:bCs/>
                <w:rtl/>
              </w:rPr>
              <w:t>כב' השופט הבכיר אור אדם</w:t>
            </w:r>
          </w:p>
          <w:p w:rsidR="00230CD6" w:rsidRDefault="00230CD6" w:rsidP="002033BD">
            <w:pPr>
              <w:rPr>
                <w:rFonts w:ascii="Arial" w:hAnsi="Arial" w:cs="FrankRuehl"/>
                <w:sz w:val="28"/>
                <w:szCs w:val="28"/>
                <w:highlight w:val="yellow"/>
              </w:rPr>
            </w:pPr>
          </w:p>
        </w:tc>
      </w:tr>
      <w:tr w:rsidR="00230CD6" w:rsidTr="002033BD">
        <w:trPr>
          <w:jc w:val="center"/>
        </w:trPr>
        <w:tc>
          <w:tcPr>
            <w:tcW w:w="2441" w:type="dxa"/>
            <w:gridSpan w:val="2"/>
          </w:tcPr>
          <w:p w:rsidR="00230CD6" w:rsidRDefault="00230CD6" w:rsidP="002033BD">
            <w:pPr>
              <w:bidi w:val="0"/>
              <w:jc w:val="right"/>
              <w:rPr>
                <w:rFonts w:ascii="Arial" w:hAnsi="Arial"/>
                <w:b/>
                <w:bCs/>
                <w:noProof w:val="0"/>
                <w:sz w:val="26"/>
                <w:szCs w:val="26"/>
              </w:rPr>
            </w:pPr>
          </w:p>
          <w:sdt>
            <w:sdtPr>
              <w:alias w:val="1180"/>
              <w:tag w:val="1180"/>
              <w:id w:val="-670108258"/>
              <w:text w:multiLine="1"/>
            </w:sdtPr>
            <w:sdtContent>
              <w:p w:rsidR="00230CD6" w:rsidRDefault="00230CD6" w:rsidP="002033BD">
                <w:pPr>
                  <w:bidi w:val="0"/>
                  <w:jc w:val="right"/>
                  <w:rPr>
                    <w:rFonts w:ascii="Arial" w:hAnsi="Arial"/>
                    <w:b/>
                    <w:bCs/>
                    <w:noProof w:val="0"/>
                    <w:sz w:val="26"/>
                    <w:szCs w:val="26"/>
                    <w:rtl/>
                  </w:rPr>
                </w:pPr>
                <w:r>
                  <w:rPr>
                    <w:rFonts w:ascii="Arial" w:hAnsi="Arial"/>
                    <w:b/>
                    <w:bCs/>
                    <w:noProof w:val="0"/>
                    <w:sz w:val="26"/>
                    <w:szCs w:val="26"/>
                    <w:rtl/>
                  </w:rPr>
                  <w:t>תובעים</w:t>
                </w:r>
              </w:p>
            </w:sdtContent>
          </w:sdt>
        </w:tc>
        <w:tc>
          <w:tcPr>
            <w:tcW w:w="6379" w:type="dxa"/>
          </w:tcPr>
          <w:p w:rsidR="00230CD6" w:rsidRDefault="00230CD6" w:rsidP="002033BD">
            <w:pPr>
              <w:rPr>
                <w:rFonts w:ascii="Arial" w:hAnsi="Arial"/>
                <w:b/>
                <w:bCs/>
                <w:noProof w:val="0"/>
                <w:sz w:val="26"/>
                <w:szCs w:val="26"/>
              </w:rPr>
            </w:pPr>
          </w:p>
          <w:p w:rsidR="00230CD6" w:rsidRDefault="00230CD6" w:rsidP="002033BD">
            <w:pPr>
              <w:rPr>
                <w:b/>
                <w:bCs/>
                <w:noProof w:val="0"/>
                <w:sz w:val="26"/>
                <w:szCs w:val="26"/>
              </w:rPr>
            </w:pPr>
            <w:sdt>
              <w:sdtPr>
                <w:rPr>
                  <w:rtl/>
                </w:rPr>
                <w:alias w:val="1462"/>
                <w:tag w:val="1462"/>
                <w:id w:val="647716329"/>
                <w:text w:multiLine="1"/>
              </w:sdtPr>
              <w:sdtContent>
                <w:r>
                  <w:rPr>
                    <w:rFonts w:ascii="Arial" w:hAnsi="Arial"/>
                    <w:b/>
                    <w:bCs/>
                    <w:noProof w:val="0"/>
                    <w:sz w:val="26"/>
                    <w:szCs w:val="26"/>
                    <w:rtl/>
                  </w:rPr>
                  <w:t>1</w:t>
                </w:r>
              </w:sdtContent>
            </w:sdt>
            <w:r>
              <w:rPr>
                <w:b/>
                <w:bCs/>
                <w:noProof w:val="0"/>
                <w:sz w:val="26"/>
                <w:szCs w:val="26"/>
                <w:rtl/>
              </w:rPr>
              <w:t>.</w:t>
            </w:r>
            <w:sdt>
              <w:sdtPr>
                <w:rPr>
                  <w:rtl/>
                </w:rPr>
                <w:alias w:val="1478"/>
                <w:tag w:val="1478"/>
                <w:id w:val="-664555276"/>
                <w:text w:multiLine="1"/>
              </w:sdtPr>
              <w:sdtContent>
                <w:r>
                  <w:rPr>
                    <w:rFonts w:ascii="Arial" w:hAnsi="Arial"/>
                    <w:b/>
                    <w:bCs/>
                    <w:noProof w:val="0"/>
                    <w:sz w:val="26"/>
                    <w:szCs w:val="26"/>
                    <w:rtl/>
                  </w:rPr>
                  <w:t>אלעזר פרברי</w:t>
                </w:r>
              </w:sdtContent>
            </w:sdt>
          </w:p>
          <w:p w:rsidR="00230CD6" w:rsidRDefault="00230CD6" w:rsidP="002033BD">
            <w:pPr>
              <w:rPr>
                <w:b/>
                <w:bCs/>
                <w:noProof w:val="0"/>
                <w:sz w:val="26"/>
                <w:szCs w:val="26"/>
              </w:rPr>
            </w:pPr>
            <w:sdt>
              <w:sdtPr>
                <w:rPr>
                  <w:rtl/>
                </w:rPr>
                <w:alias w:val="1462"/>
                <w:tag w:val="1462"/>
                <w:id w:val="-1374453133"/>
                <w:text w:multiLine="1"/>
              </w:sdtPr>
              <w:sdtContent>
                <w:r>
                  <w:rPr>
                    <w:rFonts w:ascii="Arial" w:hAnsi="Arial"/>
                    <w:b/>
                    <w:bCs/>
                    <w:noProof w:val="0"/>
                    <w:sz w:val="26"/>
                    <w:szCs w:val="26"/>
                    <w:rtl/>
                  </w:rPr>
                  <w:t>2</w:t>
                </w:r>
              </w:sdtContent>
            </w:sdt>
            <w:r>
              <w:rPr>
                <w:b/>
                <w:bCs/>
                <w:noProof w:val="0"/>
                <w:sz w:val="26"/>
                <w:szCs w:val="26"/>
                <w:rtl/>
              </w:rPr>
              <w:t>.</w:t>
            </w:r>
            <w:sdt>
              <w:sdtPr>
                <w:rPr>
                  <w:rtl/>
                </w:rPr>
                <w:alias w:val="1478"/>
                <w:tag w:val="1478"/>
                <w:id w:val="-1007207480"/>
                <w:text w:multiLine="1"/>
              </w:sdtPr>
              <w:sdtContent>
                <w:r>
                  <w:rPr>
                    <w:rFonts w:ascii="Arial" w:hAnsi="Arial"/>
                    <w:b/>
                    <w:bCs/>
                    <w:noProof w:val="0"/>
                    <w:sz w:val="26"/>
                    <w:szCs w:val="26"/>
                    <w:rtl/>
                  </w:rPr>
                  <w:t xml:space="preserve">אורו </w:t>
                </w:r>
                <w:proofErr w:type="spellStart"/>
                <w:r>
                  <w:rPr>
                    <w:rFonts w:ascii="Arial" w:hAnsi="Arial"/>
                    <w:b/>
                    <w:bCs/>
                    <w:noProof w:val="0"/>
                    <w:sz w:val="26"/>
                    <w:szCs w:val="26"/>
                    <w:rtl/>
                  </w:rPr>
                  <w:t>נורי</w:t>
                </w:r>
                <w:proofErr w:type="spellEnd"/>
                <w:r>
                  <w:rPr>
                    <w:rFonts w:ascii="Arial" w:hAnsi="Arial"/>
                    <w:b/>
                    <w:bCs/>
                    <w:noProof w:val="0"/>
                    <w:sz w:val="26"/>
                    <w:szCs w:val="26"/>
                    <w:rtl/>
                  </w:rPr>
                  <w:t xml:space="preserve"> </w:t>
                </w:r>
                <w:proofErr w:type="spellStart"/>
                <w:r>
                  <w:rPr>
                    <w:rFonts w:ascii="Arial" w:hAnsi="Arial"/>
                    <w:b/>
                    <w:bCs/>
                    <w:noProof w:val="0"/>
                    <w:sz w:val="26"/>
                    <w:szCs w:val="26"/>
                    <w:rtl/>
                  </w:rPr>
                  <w:t>פלכנר</w:t>
                </w:r>
                <w:proofErr w:type="spellEnd"/>
                <w:r>
                  <w:rPr>
                    <w:rFonts w:ascii="Arial" w:hAnsi="Arial"/>
                    <w:b/>
                    <w:bCs/>
                    <w:noProof w:val="0"/>
                    <w:sz w:val="26"/>
                    <w:szCs w:val="26"/>
                    <w:rtl/>
                  </w:rPr>
                  <w:t xml:space="preserve"> שוקרון</w:t>
                </w:r>
              </w:sdtContent>
            </w:sdt>
          </w:p>
        </w:tc>
      </w:tr>
      <w:tr w:rsidR="00230CD6" w:rsidTr="002033BD">
        <w:trPr>
          <w:jc w:val="center"/>
        </w:trPr>
        <w:tc>
          <w:tcPr>
            <w:tcW w:w="8820" w:type="dxa"/>
            <w:gridSpan w:val="3"/>
          </w:tcPr>
          <w:p w:rsidR="00230CD6" w:rsidRDefault="00230CD6" w:rsidP="002033BD">
            <w:pPr>
              <w:rPr>
                <w:rFonts w:ascii="Arial" w:hAnsi="Arial"/>
                <w:b/>
                <w:bCs/>
                <w:noProof w:val="0"/>
                <w:sz w:val="26"/>
                <w:szCs w:val="26"/>
                <w:rtl/>
              </w:rPr>
            </w:pPr>
          </w:p>
          <w:p w:rsidR="00230CD6" w:rsidRDefault="00230CD6" w:rsidP="002033BD">
            <w:pPr>
              <w:jc w:val="center"/>
              <w:rPr>
                <w:rFonts w:ascii="Arial" w:hAnsi="Arial"/>
                <w:b/>
                <w:bCs/>
                <w:noProof w:val="0"/>
                <w:sz w:val="26"/>
                <w:szCs w:val="26"/>
                <w:rtl/>
              </w:rPr>
            </w:pPr>
            <w:r>
              <w:rPr>
                <w:rFonts w:ascii="Arial" w:hAnsi="Arial"/>
                <w:b/>
                <w:bCs/>
                <w:noProof w:val="0"/>
                <w:sz w:val="26"/>
                <w:szCs w:val="26"/>
                <w:rtl/>
              </w:rPr>
              <w:t>נגד</w:t>
            </w:r>
          </w:p>
          <w:p w:rsidR="00230CD6" w:rsidRDefault="00230CD6" w:rsidP="002033BD">
            <w:pPr>
              <w:rPr>
                <w:rFonts w:ascii="Arial" w:hAnsi="Arial"/>
                <w:b/>
                <w:bCs/>
                <w:noProof w:val="0"/>
                <w:sz w:val="26"/>
                <w:szCs w:val="26"/>
              </w:rPr>
            </w:pPr>
          </w:p>
        </w:tc>
      </w:tr>
      <w:tr w:rsidR="00230CD6" w:rsidTr="002033BD">
        <w:trPr>
          <w:jc w:val="center"/>
        </w:trPr>
        <w:tc>
          <w:tcPr>
            <w:tcW w:w="2441" w:type="dxa"/>
            <w:gridSpan w:val="2"/>
          </w:tcPr>
          <w:p w:rsidR="00230CD6" w:rsidRDefault="00230CD6" w:rsidP="002033BD">
            <w:pPr>
              <w:rPr>
                <w:rFonts w:ascii="Arial" w:hAnsi="Arial"/>
                <w:b/>
                <w:bCs/>
                <w:noProof w:val="0"/>
                <w:sz w:val="26"/>
                <w:szCs w:val="26"/>
                <w:rtl/>
              </w:rPr>
            </w:pPr>
          </w:p>
          <w:p w:rsidR="00230CD6" w:rsidRDefault="00230CD6" w:rsidP="002033BD">
            <w:pPr>
              <w:rPr>
                <w:rFonts w:ascii="Arial" w:hAnsi="Arial"/>
                <w:b/>
                <w:bCs/>
                <w:noProof w:val="0"/>
                <w:sz w:val="26"/>
                <w:szCs w:val="26"/>
              </w:rPr>
            </w:pPr>
            <w:sdt>
              <w:sdtPr>
                <w:rPr>
                  <w:rtl/>
                </w:rPr>
                <w:alias w:val="1184"/>
                <w:tag w:val="1184"/>
                <w:id w:val="1745691756"/>
                <w:text w:multiLine="1"/>
              </w:sdtPr>
              <w:sdtContent>
                <w:r>
                  <w:rPr>
                    <w:rFonts w:ascii="Arial" w:hAnsi="Arial"/>
                    <w:b/>
                    <w:bCs/>
                    <w:noProof w:val="0"/>
                    <w:sz w:val="26"/>
                    <w:szCs w:val="26"/>
                    <w:rtl/>
                  </w:rPr>
                  <w:t>נתבעים</w:t>
                </w:r>
              </w:sdtContent>
            </w:sdt>
          </w:p>
        </w:tc>
        <w:tc>
          <w:tcPr>
            <w:tcW w:w="6379" w:type="dxa"/>
          </w:tcPr>
          <w:p w:rsidR="00230CD6" w:rsidRDefault="00230CD6" w:rsidP="002033BD">
            <w:pPr>
              <w:rPr>
                <w:rFonts w:ascii="Arial" w:hAnsi="Arial"/>
                <w:b/>
                <w:bCs/>
                <w:noProof w:val="0"/>
                <w:sz w:val="26"/>
                <w:szCs w:val="26"/>
                <w:rtl/>
              </w:rPr>
            </w:pPr>
          </w:p>
          <w:p w:rsidR="00230CD6" w:rsidRDefault="00230CD6" w:rsidP="002033BD">
            <w:pPr>
              <w:rPr>
                <w:b/>
                <w:bCs/>
                <w:noProof w:val="0"/>
                <w:sz w:val="26"/>
                <w:szCs w:val="26"/>
                <w:rtl/>
              </w:rPr>
            </w:pPr>
            <w:sdt>
              <w:sdtPr>
                <w:rPr>
                  <w:rtl/>
                </w:rPr>
                <w:alias w:val="1571"/>
                <w:tag w:val="1571"/>
                <w:id w:val="-1683420979"/>
                <w:text w:multiLine="1"/>
              </w:sdtPr>
              <w:sdtContent>
                <w:r>
                  <w:rPr>
                    <w:rFonts w:ascii="Arial" w:hAnsi="Arial"/>
                    <w:b/>
                    <w:bCs/>
                    <w:noProof w:val="0"/>
                    <w:sz w:val="26"/>
                    <w:szCs w:val="26"/>
                    <w:rtl/>
                  </w:rPr>
                  <w:t>1</w:t>
                </w:r>
              </w:sdtContent>
            </w:sdt>
            <w:r>
              <w:rPr>
                <w:rFonts w:ascii="Arial" w:hAnsi="Arial"/>
                <w:b/>
                <w:bCs/>
                <w:noProof w:val="0"/>
                <w:sz w:val="26"/>
                <w:szCs w:val="26"/>
                <w:rtl/>
              </w:rPr>
              <w:t>.</w:t>
            </w:r>
            <w:sdt>
              <w:sdtPr>
                <w:rPr>
                  <w:rtl/>
                </w:rPr>
                <w:alias w:val="1486"/>
                <w:tag w:val="1486"/>
                <w:id w:val="2012566078"/>
                <w:text w:multiLine="1"/>
              </w:sdtPr>
              <w:sdtContent>
                <w:r>
                  <w:rPr>
                    <w:rFonts w:ascii="Arial" w:hAnsi="Arial"/>
                    <w:b/>
                    <w:bCs/>
                    <w:noProof w:val="0"/>
                    <w:sz w:val="26"/>
                    <w:szCs w:val="26"/>
                    <w:rtl/>
                  </w:rPr>
                  <w:t>איי אי ג'י ישראל חברה לביטוח בע"מ</w:t>
                </w:r>
              </w:sdtContent>
            </w:sdt>
          </w:p>
          <w:p w:rsidR="00230CD6" w:rsidRDefault="00230CD6" w:rsidP="002033BD">
            <w:pPr>
              <w:rPr>
                <w:b/>
                <w:bCs/>
                <w:noProof w:val="0"/>
                <w:sz w:val="26"/>
                <w:szCs w:val="26"/>
                <w:rtl/>
              </w:rPr>
            </w:pPr>
            <w:sdt>
              <w:sdtPr>
                <w:rPr>
                  <w:rtl/>
                </w:rPr>
                <w:alias w:val="1571"/>
                <w:tag w:val="1571"/>
                <w:id w:val="856156152"/>
                <w:text w:multiLine="1"/>
              </w:sdtPr>
              <w:sdtContent>
                <w:r>
                  <w:rPr>
                    <w:rFonts w:ascii="Arial" w:hAnsi="Arial"/>
                    <w:b/>
                    <w:bCs/>
                    <w:noProof w:val="0"/>
                    <w:sz w:val="26"/>
                    <w:szCs w:val="26"/>
                    <w:rtl/>
                  </w:rPr>
                  <w:t>2</w:t>
                </w:r>
              </w:sdtContent>
            </w:sdt>
            <w:r>
              <w:rPr>
                <w:rFonts w:ascii="Arial" w:hAnsi="Arial"/>
                <w:b/>
                <w:bCs/>
                <w:noProof w:val="0"/>
                <w:sz w:val="26"/>
                <w:szCs w:val="26"/>
                <w:rtl/>
              </w:rPr>
              <w:t>.</w:t>
            </w:r>
            <w:sdt>
              <w:sdtPr>
                <w:rPr>
                  <w:rtl/>
                </w:rPr>
                <w:alias w:val="1486"/>
                <w:tag w:val="1486"/>
                <w:id w:val="139858376"/>
                <w:text w:multiLine="1"/>
              </w:sdtPr>
              <w:sdtContent>
                <w:r>
                  <w:rPr>
                    <w:rFonts w:ascii="Arial" w:hAnsi="Arial"/>
                    <w:b/>
                    <w:bCs/>
                    <w:noProof w:val="0"/>
                    <w:sz w:val="26"/>
                    <w:szCs w:val="26"/>
                    <w:rtl/>
                  </w:rPr>
                  <w:t>פספורטכארד ישראל סוכנות לביטוח כללי (2014) בע"מ</w:t>
                </w:r>
              </w:sdtContent>
            </w:sdt>
          </w:p>
        </w:tc>
      </w:tr>
    </w:tbl>
    <w:p w:rsidR="00230CD6" w:rsidRDefault="00230CD6" w:rsidP="00230CD6">
      <w:pPr>
        <w:suppressLineNumbers/>
      </w:pPr>
    </w:p>
    <w:p w:rsidR="00230CD6" w:rsidRDefault="00230CD6" w:rsidP="00230CD6">
      <w:pPr>
        <w:suppressLineNumbers/>
      </w:pPr>
    </w:p>
    <w:tbl>
      <w:tblPr>
        <w:tblStyle w:val="a7"/>
        <w:bidiVisual/>
        <w:tblW w:w="88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8820"/>
      </w:tblGrid>
      <w:tr w:rsidR="00230CD6" w:rsidTr="002033BD">
        <w:trPr>
          <w:jc w:val="center"/>
        </w:trPr>
        <w:tc>
          <w:tcPr>
            <w:tcW w:w="8820" w:type="dxa"/>
          </w:tcPr>
          <w:p w:rsidR="00230CD6" w:rsidRDefault="00230CD6" w:rsidP="002033BD">
            <w:pPr>
              <w:bidi w:val="0"/>
              <w:jc w:val="center"/>
              <w:rPr>
                <w:rFonts w:ascii="Arial" w:hAnsi="Arial"/>
                <w:b/>
                <w:bCs/>
                <w:noProof w:val="0"/>
                <w:sz w:val="28"/>
                <w:szCs w:val="28"/>
                <w:u w:val="single"/>
              </w:rPr>
            </w:pPr>
            <w:r>
              <w:rPr>
                <w:rFonts w:ascii="Arial" w:hAnsi="Arial"/>
                <w:b/>
                <w:bCs/>
                <w:noProof w:val="0"/>
                <w:sz w:val="28"/>
                <w:szCs w:val="28"/>
                <w:u w:val="single"/>
                <w:rtl/>
              </w:rPr>
              <w:t>פסק דין</w:t>
            </w:r>
          </w:p>
        </w:tc>
      </w:tr>
    </w:tbl>
    <w:p w:rsidR="00230CD6" w:rsidRDefault="00230CD6" w:rsidP="00230CD6">
      <w:pPr>
        <w:spacing w:line="360" w:lineRule="auto"/>
        <w:jc w:val="both"/>
        <w:rPr>
          <w:rFonts w:ascii="Arial" w:hAnsi="Arial"/>
          <w:noProof w:val="0"/>
          <w:rtl/>
        </w:rPr>
      </w:pPr>
    </w:p>
    <w:p w:rsidR="00230CD6" w:rsidRDefault="00230CD6" w:rsidP="00230CD6">
      <w:pPr>
        <w:pStyle w:val="a9"/>
        <w:numPr>
          <w:ilvl w:val="0"/>
          <w:numId w:val="1"/>
        </w:numPr>
        <w:spacing w:before="120" w:line="400" w:lineRule="atLeast"/>
        <w:contextualSpacing w:val="0"/>
        <w:jc w:val="both"/>
        <w:rPr>
          <w:rFonts w:ascii="Arial" w:hAnsi="Arial"/>
          <w:noProof w:val="0"/>
        </w:rPr>
      </w:pPr>
      <w:r>
        <w:rPr>
          <w:rFonts w:ascii="Arial" w:hAnsi="Arial" w:hint="cs"/>
          <w:noProof w:val="0"/>
          <w:rtl/>
        </w:rPr>
        <w:t>התובעים הגישו תביעה זו לשיפוי בגין ביטוח נסיעה לחו"ל עם הרחבה לנזקי קורונה בסך כולל של 19,752 ₪.</w:t>
      </w:r>
    </w:p>
    <w:p w:rsidR="00230CD6" w:rsidRPr="008A3E42" w:rsidRDefault="00230CD6" w:rsidP="00230CD6">
      <w:pPr>
        <w:pStyle w:val="a9"/>
        <w:numPr>
          <w:ilvl w:val="0"/>
          <w:numId w:val="1"/>
        </w:numPr>
        <w:spacing w:before="120" w:line="400" w:lineRule="atLeast"/>
        <w:contextualSpacing w:val="0"/>
        <w:jc w:val="both"/>
        <w:rPr>
          <w:rFonts w:ascii="Arial" w:hAnsi="Arial"/>
          <w:noProof w:val="0"/>
        </w:rPr>
      </w:pPr>
      <w:r w:rsidRPr="008A3E42">
        <w:rPr>
          <w:rFonts w:ascii="Arial" w:hAnsi="Arial" w:hint="cs"/>
          <w:noProof w:val="0"/>
          <w:rtl/>
        </w:rPr>
        <w:t>למעשה מדובר בתביעה של התובע 1 נגד הנתבעת 1 ושל התובעת 2 נגד הנתבעת 2.</w:t>
      </w:r>
      <w:r w:rsidRPr="008A3E42">
        <w:rPr>
          <w:rFonts w:ascii="Arial" w:hAnsi="Arial"/>
          <w:noProof w:val="0"/>
          <w:rtl/>
        </w:rPr>
        <w:tab/>
      </w:r>
      <w:r w:rsidRPr="008A3E42">
        <w:rPr>
          <w:rFonts w:ascii="Arial" w:hAnsi="Arial"/>
          <w:noProof w:val="0"/>
          <w:rtl/>
        </w:rPr>
        <w:br/>
      </w:r>
      <w:r w:rsidRPr="008A3E42">
        <w:rPr>
          <w:rFonts w:ascii="Arial" w:hAnsi="Arial" w:hint="cs"/>
          <w:noProof w:val="0"/>
          <w:rtl/>
        </w:rPr>
        <w:t xml:space="preserve">יודגש כבר כאן בפתיח, שלא היה מקום לצרף את שתי התביעות לכתב תביעה אחד, שכן הנתבעת 2 קיבלה למעשה את תביעת התובעת 2 ופיצתה אותה, והמחלוקת </w:t>
      </w:r>
      <w:proofErr w:type="spellStart"/>
      <w:r w:rsidRPr="008A3E42">
        <w:rPr>
          <w:rFonts w:ascii="Arial" w:hAnsi="Arial" w:hint="cs"/>
          <w:noProof w:val="0"/>
          <w:rtl/>
        </w:rPr>
        <w:t>היתה</w:t>
      </w:r>
      <w:proofErr w:type="spellEnd"/>
      <w:r w:rsidRPr="008A3E42">
        <w:rPr>
          <w:rFonts w:ascii="Arial" w:hAnsi="Arial" w:hint="cs"/>
          <w:noProof w:val="0"/>
          <w:rtl/>
        </w:rPr>
        <w:t xml:space="preserve"> </w:t>
      </w:r>
      <w:r w:rsidRPr="008A3E42">
        <w:rPr>
          <w:rFonts w:ascii="Arial" w:hAnsi="Arial" w:hint="cs"/>
          <w:b/>
          <w:bCs/>
          <w:noProof w:val="0"/>
          <w:rtl/>
        </w:rPr>
        <w:t>רק לגבי גובה הפיצוי</w:t>
      </w:r>
      <w:r w:rsidRPr="008A3E42">
        <w:rPr>
          <w:rFonts w:ascii="Arial" w:hAnsi="Arial" w:hint="cs"/>
          <w:noProof w:val="0"/>
          <w:rtl/>
        </w:rPr>
        <w:t xml:space="preserve">, ואילו תביעתו של התובע 1 נגד הנתבעת 1 כוללת שורה ארוכה של </w:t>
      </w:r>
      <w:r w:rsidRPr="008A3E42">
        <w:rPr>
          <w:rFonts w:ascii="Arial" w:hAnsi="Arial" w:hint="cs"/>
          <w:b/>
          <w:bCs/>
          <w:noProof w:val="0"/>
          <w:rtl/>
        </w:rPr>
        <w:t>טענות לגבי החבות</w:t>
      </w:r>
      <w:r w:rsidRPr="008A3E42">
        <w:rPr>
          <w:rFonts w:ascii="Arial" w:hAnsi="Arial" w:hint="cs"/>
          <w:noProof w:val="0"/>
          <w:rtl/>
        </w:rPr>
        <w:t>, שאינן רלוונטיות לתביעה של התובעת 2 נגד הנתבעת 2.</w:t>
      </w:r>
      <w:r>
        <w:rPr>
          <w:rFonts w:ascii="Arial" w:hAnsi="Arial" w:hint="cs"/>
          <w:noProof w:val="0"/>
          <w:rtl/>
        </w:rPr>
        <w:t xml:space="preserve"> צירוף שתי התביעות יחד, כאשר מדובר בתובע אחר ובנתבעת אחרת והשאלות המשותפות מצומצמות - מביא לסרבול לא ראוי.</w:t>
      </w:r>
    </w:p>
    <w:p w:rsidR="00230CD6" w:rsidRDefault="00230CD6" w:rsidP="00230CD6">
      <w:pPr>
        <w:pStyle w:val="a9"/>
        <w:numPr>
          <w:ilvl w:val="0"/>
          <w:numId w:val="1"/>
        </w:numPr>
        <w:spacing w:before="120" w:line="400" w:lineRule="atLeast"/>
        <w:contextualSpacing w:val="0"/>
        <w:jc w:val="both"/>
        <w:rPr>
          <w:rFonts w:ascii="Arial" w:hAnsi="Arial"/>
          <w:noProof w:val="0"/>
        </w:rPr>
      </w:pPr>
      <w:r>
        <w:rPr>
          <w:rFonts w:ascii="Arial" w:hAnsi="Arial" w:hint="cs"/>
          <w:noProof w:val="0"/>
          <w:rtl/>
        </w:rPr>
        <w:t xml:space="preserve">התביעה נסובה סביב נסיעה לחו"ל של שני התובעים, אשר כללה בעיקרה שייט בים הבלטי בחודש יולי 2022. שני התובעים ערכו הרחבת ביטוח נסיעות לחו"ל גם לנזקי קורונה, כל תובע במסגרת מבטחת אחרת כאמור לעיל. </w:t>
      </w:r>
      <w:r>
        <w:rPr>
          <w:rFonts w:ascii="Arial" w:hAnsi="Arial"/>
          <w:noProof w:val="0"/>
          <w:rtl/>
        </w:rPr>
        <w:tab/>
      </w:r>
      <w:r>
        <w:rPr>
          <w:rFonts w:ascii="Arial" w:hAnsi="Arial"/>
          <w:noProof w:val="0"/>
          <w:rtl/>
        </w:rPr>
        <w:br/>
      </w:r>
      <w:r>
        <w:rPr>
          <w:rFonts w:ascii="Arial" w:hAnsi="Arial" w:hint="cs"/>
          <w:noProof w:val="0"/>
          <w:rtl/>
        </w:rPr>
        <w:t>כאשר התייצב התובע 1 לשייט, התברר כי הוא חיובי לקורונה ונאסר עליו לעלות לספינה. התובעים תבעו אפוא את הפיצוי האמור, המורכב מעלות השייט, עלות חיבור לאינטרנט במהלך השייט, עלות הטיסות, עלות שלושה לילות במלון בשטוקהולם ושלושה לילות במלון בקופנהגן, עלות הטיסה בחזרה ולילה נוסף במלון.</w:t>
      </w:r>
    </w:p>
    <w:p w:rsidR="00230CD6" w:rsidRDefault="00230CD6" w:rsidP="00230CD6">
      <w:pPr>
        <w:pStyle w:val="a9"/>
        <w:numPr>
          <w:ilvl w:val="0"/>
          <w:numId w:val="1"/>
        </w:numPr>
        <w:spacing w:before="120" w:line="400" w:lineRule="atLeast"/>
        <w:contextualSpacing w:val="0"/>
        <w:jc w:val="both"/>
        <w:rPr>
          <w:rFonts w:ascii="Arial" w:hAnsi="Arial"/>
          <w:noProof w:val="0"/>
        </w:rPr>
      </w:pPr>
      <w:r>
        <w:rPr>
          <w:rFonts w:ascii="Arial" w:hAnsi="Arial" w:hint="cs"/>
          <w:noProof w:val="0"/>
          <w:rtl/>
        </w:rPr>
        <w:t xml:space="preserve">הנתבעת 1 </w:t>
      </w:r>
      <w:proofErr w:type="spellStart"/>
      <w:r>
        <w:rPr>
          <w:rFonts w:ascii="Arial" w:hAnsi="Arial" w:hint="cs"/>
          <w:noProof w:val="0"/>
          <w:rtl/>
        </w:rPr>
        <w:t>סרבה</w:t>
      </w:r>
      <w:proofErr w:type="spellEnd"/>
      <w:r>
        <w:rPr>
          <w:rFonts w:ascii="Arial" w:hAnsi="Arial" w:hint="cs"/>
          <w:noProof w:val="0"/>
          <w:rtl/>
        </w:rPr>
        <w:t xml:space="preserve"> לשלם לתובע 1 דבר, בטענה כי לפי לשון הפוליסה, לא קמה לתובע הזכאות לפיצוי. </w:t>
      </w:r>
    </w:p>
    <w:p w:rsidR="00230CD6" w:rsidRDefault="00230CD6" w:rsidP="00230CD6">
      <w:pPr>
        <w:pStyle w:val="a9"/>
        <w:numPr>
          <w:ilvl w:val="0"/>
          <w:numId w:val="1"/>
        </w:numPr>
        <w:spacing w:before="120" w:line="400" w:lineRule="atLeast"/>
        <w:contextualSpacing w:val="0"/>
        <w:jc w:val="both"/>
        <w:rPr>
          <w:rFonts w:ascii="Arial" w:hAnsi="Arial"/>
          <w:noProof w:val="0"/>
        </w:rPr>
      </w:pPr>
      <w:r>
        <w:rPr>
          <w:rFonts w:ascii="Arial" w:hAnsi="Arial" w:hint="cs"/>
          <w:noProof w:val="0"/>
          <w:rtl/>
        </w:rPr>
        <w:lastRenderedPageBreak/>
        <w:t>הנתבעת 2 עומת זאת, פיצתה את התובעת 2, אולם רק לגבי חלק מרכיבי תביעתה, ומכאן התביעה.</w:t>
      </w:r>
    </w:p>
    <w:p w:rsidR="00230CD6" w:rsidRDefault="00230CD6" w:rsidP="00230CD6">
      <w:pPr>
        <w:pStyle w:val="a9"/>
        <w:numPr>
          <w:ilvl w:val="0"/>
          <w:numId w:val="1"/>
        </w:numPr>
        <w:spacing w:before="120" w:line="400" w:lineRule="atLeast"/>
        <w:contextualSpacing w:val="0"/>
        <w:jc w:val="both"/>
        <w:rPr>
          <w:rFonts w:ascii="Arial" w:hAnsi="Arial"/>
          <w:noProof w:val="0"/>
        </w:rPr>
      </w:pPr>
      <w:r w:rsidRPr="0051548F">
        <w:rPr>
          <w:rFonts w:ascii="Arial" w:hAnsi="Arial" w:hint="cs"/>
          <w:noProof w:val="0"/>
          <w:rtl/>
        </w:rPr>
        <w:t>במהלך הדיון, הגיעו הצדדים להסכמה חלקית</w:t>
      </w:r>
      <w:r>
        <w:rPr>
          <w:rFonts w:ascii="Arial" w:hAnsi="Arial" w:hint="cs"/>
          <w:noProof w:val="0"/>
          <w:rtl/>
        </w:rPr>
        <w:t>,</w:t>
      </w:r>
      <w:r w:rsidRPr="0051548F">
        <w:rPr>
          <w:rFonts w:ascii="Arial" w:hAnsi="Arial" w:hint="cs"/>
          <w:noProof w:val="0"/>
          <w:rtl/>
        </w:rPr>
        <w:t xml:space="preserve"> לפיה תביעתה של התובעת 2 נגד הנתבעת 2 תידחה ללא צו להוצאות</w:t>
      </w:r>
      <w:r>
        <w:rPr>
          <w:rFonts w:ascii="Arial" w:hAnsi="Arial" w:hint="cs"/>
          <w:noProof w:val="0"/>
          <w:rtl/>
        </w:rPr>
        <w:t xml:space="preserve">. </w:t>
      </w:r>
    </w:p>
    <w:p w:rsidR="00230CD6" w:rsidRDefault="00230CD6" w:rsidP="00230CD6">
      <w:pPr>
        <w:pStyle w:val="a9"/>
        <w:numPr>
          <w:ilvl w:val="0"/>
          <w:numId w:val="1"/>
        </w:numPr>
        <w:spacing w:before="120" w:line="400" w:lineRule="atLeast"/>
        <w:contextualSpacing w:val="0"/>
        <w:jc w:val="both"/>
        <w:rPr>
          <w:rFonts w:ascii="Arial" w:hAnsi="Arial"/>
          <w:noProof w:val="0"/>
        </w:rPr>
      </w:pPr>
      <w:r w:rsidRPr="0051548F">
        <w:rPr>
          <w:rFonts w:ascii="Arial" w:hAnsi="Arial" w:hint="cs"/>
          <w:b/>
          <w:bCs/>
          <w:noProof w:val="0"/>
          <w:rtl/>
        </w:rPr>
        <w:t>בהסכמת הצדדים ניתן בזאת פסק דין בתביעתה של התובעת 2 נגד הנתבעת 2, לפיו התביעה תידחה ללא צו להוצאות</w:t>
      </w:r>
      <w:r>
        <w:rPr>
          <w:rFonts w:ascii="Arial" w:hAnsi="Arial" w:hint="cs"/>
          <w:noProof w:val="0"/>
          <w:rtl/>
        </w:rPr>
        <w:t>.</w:t>
      </w:r>
    </w:p>
    <w:p w:rsidR="00230CD6" w:rsidRDefault="00230CD6" w:rsidP="00230CD6">
      <w:pPr>
        <w:pStyle w:val="a9"/>
        <w:numPr>
          <w:ilvl w:val="0"/>
          <w:numId w:val="1"/>
        </w:numPr>
        <w:spacing w:before="120" w:line="400" w:lineRule="atLeast"/>
        <w:ind w:left="714" w:hanging="357"/>
        <w:contextualSpacing w:val="0"/>
        <w:jc w:val="both"/>
        <w:rPr>
          <w:rFonts w:ascii="Arial" w:hAnsi="Arial"/>
          <w:noProof w:val="0"/>
        </w:rPr>
      </w:pPr>
      <w:r>
        <w:rPr>
          <w:rFonts w:ascii="Arial" w:hAnsi="Arial" w:hint="cs"/>
          <w:noProof w:val="0"/>
          <w:rtl/>
        </w:rPr>
        <w:t>נותר אפוא להכריע בעניין תביעתו של התובע 1 (להלן: "</w:t>
      </w:r>
      <w:r w:rsidRPr="00E143CD">
        <w:rPr>
          <w:rFonts w:ascii="Arial" w:hAnsi="Arial" w:hint="cs"/>
          <w:b/>
          <w:bCs/>
          <w:noProof w:val="0"/>
          <w:rtl/>
        </w:rPr>
        <w:t>התובע</w:t>
      </w:r>
      <w:r>
        <w:rPr>
          <w:rFonts w:ascii="Arial" w:hAnsi="Arial" w:hint="cs"/>
          <w:noProof w:val="0"/>
          <w:rtl/>
        </w:rPr>
        <w:t>") נגד הנתבעת 1 (להלן: "</w:t>
      </w:r>
      <w:r w:rsidRPr="00E143CD">
        <w:rPr>
          <w:rFonts w:ascii="Arial" w:hAnsi="Arial" w:hint="cs"/>
          <w:b/>
          <w:bCs/>
          <w:noProof w:val="0"/>
          <w:rtl/>
        </w:rPr>
        <w:t>הנתבעת</w:t>
      </w:r>
      <w:r>
        <w:rPr>
          <w:rFonts w:ascii="Arial" w:hAnsi="Arial" w:hint="cs"/>
          <w:noProof w:val="0"/>
          <w:rtl/>
        </w:rPr>
        <w:t>") לפיצוי בסך 13,577 ₪.</w:t>
      </w:r>
    </w:p>
    <w:p w:rsidR="00230CD6" w:rsidRDefault="00230CD6" w:rsidP="00230CD6">
      <w:pPr>
        <w:pStyle w:val="a9"/>
        <w:numPr>
          <w:ilvl w:val="0"/>
          <w:numId w:val="1"/>
        </w:numPr>
        <w:spacing w:before="120" w:line="400" w:lineRule="atLeast"/>
        <w:ind w:left="714" w:hanging="357"/>
        <w:contextualSpacing w:val="0"/>
        <w:jc w:val="both"/>
        <w:rPr>
          <w:rFonts w:ascii="Arial" w:hAnsi="Arial"/>
          <w:noProof w:val="0"/>
        </w:rPr>
      </w:pPr>
      <w:r>
        <w:rPr>
          <w:rFonts w:ascii="Arial" w:hAnsi="Arial" w:hint="cs"/>
          <w:noProof w:val="0"/>
          <w:rtl/>
        </w:rPr>
        <w:t>ואלה העובדות המוסכמות:</w:t>
      </w:r>
    </w:p>
    <w:p w:rsidR="00230CD6" w:rsidRDefault="00230CD6" w:rsidP="00230CD6">
      <w:pPr>
        <w:pStyle w:val="a9"/>
        <w:numPr>
          <w:ilvl w:val="1"/>
          <w:numId w:val="1"/>
        </w:numPr>
        <w:spacing w:before="120" w:line="400" w:lineRule="atLeast"/>
        <w:contextualSpacing w:val="0"/>
        <w:jc w:val="both"/>
        <w:rPr>
          <w:rFonts w:ascii="Arial" w:hAnsi="Arial"/>
          <w:noProof w:val="0"/>
        </w:rPr>
      </w:pPr>
      <w:r>
        <w:rPr>
          <w:rFonts w:ascii="Arial" w:hAnsi="Arial" w:hint="cs"/>
          <w:noProof w:val="0"/>
          <w:rtl/>
        </w:rPr>
        <w:t>התובע יצא לנסיעה לחו"ל, כאשר בלב הנסיעה עמדה פעילות של שייט.</w:t>
      </w:r>
    </w:p>
    <w:p w:rsidR="00230CD6" w:rsidRDefault="00230CD6" w:rsidP="00230CD6">
      <w:pPr>
        <w:pStyle w:val="a9"/>
        <w:numPr>
          <w:ilvl w:val="1"/>
          <w:numId w:val="1"/>
        </w:numPr>
        <w:spacing w:before="120" w:line="400" w:lineRule="atLeast"/>
        <w:contextualSpacing w:val="0"/>
        <w:jc w:val="both"/>
        <w:rPr>
          <w:rFonts w:ascii="Arial" w:hAnsi="Arial"/>
          <w:noProof w:val="0"/>
        </w:rPr>
      </w:pPr>
      <w:r>
        <w:rPr>
          <w:rFonts w:ascii="Arial" w:hAnsi="Arial" w:hint="cs"/>
          <w:noProof w:val="0"/>
          <w:rtl/>
        </w:rPr>
        <w:t>התובע ביטח עצמו בביטוח נסיעות לחו"ל אצל הנתבעת, לרבות הרחבה לסיכוני קורונה.</w:t>
      </w:r>
    </w:p>
    <w:p w:rsidR="00230CD6" w:rsidRDefault="00230CD6" w:rsidP="00230CD6">
      <w:pPr>
        <w:pStyle w:val="a9"/>
        <w:numPr>
          <w:ilvl w:val="1"/>
          <w:numId w:val="1"/>
        </w:numPr>
        <w:spacing w:before="120" w:line="400" w:lineRule="atLeast"/>
        <w:contextualSpacing w:val="0"/>
        <w:jc w:val="both"/>
        <w:rPr>
          <w:rFonts w:ascii="Arial" w:hAnsi="Arial"/>
          <w:noProof w:val="0"/>
        </w:rPr>
      </w:pPr>
      <w:r>
        <w:rPr>
          <w:rFonts w:ascii="Arial" w:hAnsi="Arial" w:hint="cs"/>
          <w:noProof w:val="0"/>
          <w:rtl/>
        </w:rPr>
        <w:t>רק בעת עלייתו של התובע לספינה, התגלה כי הוא חיובי לקורונה, ולכן לא יכול היה לבצע את השייט.</w:t>
      </w:r>
    </w:p>
    <w:p w:rsidR="00230CD6" w:rsidRDefault="00230CD6" w:rsidP="00230CD6">
      <w:pPr>
        <w:pStyle w:val="a9"/>
        <w:numPr>
          <w:ilvl w:val="1"/>
          <w:numId w:val="1"/>
        </w:numPr>
        <w:spacing w:before="120" w:line="400" w:lineRule="atLeast"/>
        <w:contextualSpacing w:val="0"/>
        <w:jc w:val="both"/>
        <w:rPr>
          <w:rFonts w:ascii="Arial" w:hAnsi="Arial"/>
          <w:noProof w:val="0"/>
        </w:rPr>
      </w:pPr>
      <w:r>
        <w:rPr>
          <w:rFonts w:ascii="Arial" w:hAnsi="Arial" w:hint="cs"/>
          <w:noProof w:val="0"/>
          <w:rtl/>
        </w:rPr>
        <w:t>אין מחלוקת כי התובע לא אושפז בחו"ל.</w:t>
      </w:r>
    </w:p>
    <w:p w:rsidR="00230CD6" w:rsidRDefault="00230CD6" w:rsidP="00230CD6">
      <w:pPr>
        <w:pStyle w:val="a9"/>
        <w:numPr>
          <w:ilvl w:val="1"/>
          <w:numId w:val="1"/>
        </w:numPr>
        <w:spacing w:before="120" w:line="400" w:lineRule="atLeast"/>
        <w:contextualSpacing w:val="0"/>
        <w:jc w:val="both"/>
        <w:rPr>
          <w:rFonts w:ascii="Arial" w:hAnsi="Arial"/>
          <w:noProof w:val="0"/>
        </w:rPr>
      </w:pPr>
      <w:r>
        <w:rPr>
          <w:rFonts w:ascii="Arial" w:hAnsi="Arial" w:hint="cs"/>
          <w:noProof w:val="0"/>
          <w:rtl/>
        </w:rPr>
        <w:t>אין מחלוקת כי בעקבות גילוי הנגיף, הקדים התובע את חזרתו ארצה.</w:t>
      </w:r>
    </w:p>
    <w:p w:rsidR="00230CD6" w:rsidRDefault="00230CD6" w:rsidP="00230CD6">
      <w:pPr>
        <w:pStyle w:val="a9"/>
        <w:numPr>
          <w:ilvl w:val="1"/>
          <w:numId w:val="1"/>
        </w:numPr>
        <w:spacing w:before="120" w:line="400" w:lineRule="atLeast"/>
        <w:contextualSpacing w:val="0"/>
        <w:jc w:val="both"/>
        <w:rPr>
          <w:rFonts w:ascii="Arial" w:hAnsi="Arial"/>
          <w:noProof w:val="0"/>
        </w:rPr>
      </w:pPr>
      <w:r>
        <w:rPr>
          <w:rFonts w:ascii="Arial" w:hAnsi="Arial" w:hint="cs"/>
          <w:noProof w:val="0"/>
          <w:rtl/>
        </w:rPr>
        <w:t xml:space="preserve">הנתבעת טענה כי התובע לא עמד בתנאים הנקובים בפוליסה לגבי "קיצור נסיעה" המחייב </w:t>
      </w:r>
      <w:proofErr w:type="spellStart"/>
      <w:r>
        <w:rPr>
          <w:rFonts w:ascii="Arial" w:hAnsi="Arial" w:hint="cs"/>
          <w:noProof w:val="0"/>
          <w:rtl/>
        </w:rPr>
        <w:t>אישפוז</w:t>
      </w:r>
      <w:proofErr w:type="spellEnd"/>
      <w:r>
        <w:rPr>
          <w:rFonts w:ascii="Arial" w:hAnsi="Arial" w:hint="cs"/>
          <w:noProof w:val="0"/>
          <w:rtl/>
        </w:rPr>
        <w:t xml:space="preserve"> בחו"ל כתנאי לפיצוי.</w:t>
      </w:r>
    </w:p>
    <w:p w:rsidR="00230CD6" w:rsidRDefault="00230CD6" w:rsidP="00230CD6">
      <w:pPr>
        <w:pStyle w:val="a9"/>
        <w:numPr>
          <w:ilvl w:val="1"/>
          <w:numId w:val="1"/>
        </w:numPr>
        <w:spacing w:before="120" w:line="400" w:lineRule="atLeast"/>
        <w:contextualSpacing w:val="0"/>
        <w:jc w:val="both"/>
        <w:rPr>
          <w:rFonts w:ascii="Arial" w:hAnsi="Arial"/>
          <w:noProof w:val="0"/>
        </w:rPr>
      </w:pPr>
      <w:r>
        <w:rPr>
          <w:rFonts w:ascii="Arial" w:hAnsi="Arial" w:hint="cs"/>
          <w:noProof w:val="0"/>
          <w:rtl/>
        </w:rPr>
        <w:t xml:space="preserve">הנתבעת טענה כי התובע לא עמד בתנאים הנקובים בפוליסה לגבי "הרחבה לשיפוי הוצאות מיוחדות עקב </w:t>
      </w:r>
      <w:proofErr w:type="spellStart"/>
      <w:r>
        <w:rPr>
          <w:rFonts w:ascii="Arial" w:hAnsi="Arial" w:hint="cs"/>
          <w:noProof w:val="0"/>
          <w:rtl/>
        </w:rPr>
        <w:t>מגיפת</w:t>
      </w:r>
      <w:proofErr w:type="spellEnd"/>
      <w:r>
        <w:rPr>
          <w:rFonts w:ascii="Arial" w:hAnsi="Arial" w:hint="cs"/>
          <w:noProof w:val="0"/>
          <w:rtl/>
        </w:rPr>
        <w:t xml:space="preserve"> הקורונה", שכן לטענתה אין מדובר ב"ביטול נסיעה", או בהוצאות עקב סגר בחו"ל, או בהארכת שהות עקב המגיפה, או בהוצאות אשפוז בחו"ל או בפיצוי בגין בידוד בחו"ל.</w:t>
      </w:r>
    </w:p>
    <w:p w:rsidR="00230CD6" w:rsidRDefault="00230CD6" w:rsidP="00230CD6">
      <w:pPr>
        <w:pStyle w:val="a9"/>
        <w:numPr>
          <w:ilvl w:val="0"/>
          <w:numId w:val="1"/>
        </w:numPr>
        <w:spacing w:before="120" w:line="400" w:lineRule="atLeast"/>
        <w:contextualSpacing w:val="0"/>
        <w:jc w:val="both"/>
        <w:rPr>
          <w:rFonts w:ascii="Arial" w:hAnsi="Arial"/>
          <w:noProof w:val="0"/>
        </w:rPr>
      </w:pPr>
      <w:r>
        <w:rPr>
          <w:rFonts w:ascii="Arial" w:hAnsi="Arial" w:hint="cs"/>
          <w:noProof w:val="0"/>
          <w:rtl/>
        </w:rPr>
        <w:t xml:space="preserve">התובע העלה שלל טענות מן הגורן ומן היקב באשר לחיובה של הנתבעת </w:t>
      </w:r>
      <w:proofErr w:type="spellStart"/>
      <w:r>
        <w:rPr>
          <w:rFonts w:ascii="Arial" w:hAnsi="Arial" w:hint="cs"/>
          <w:noProof w:val="0"/>
          <w:rtl/>
        </w:rPr>
        <w:t>לפצותו</w:t>
      </w:r>
      <w:proofErr w:type="spellEnd"/>
      <w:r>
        <w:rPr>
          <w:rFonts w:ascii="Arial" w:hAnsi="Arial" w:hint="cs"/>
          <w:noProof w:val="0"/>
          <w:rtl/>
        </w:rPr>
        <w:t>.</w:t>
      </w:r>
      <w:r>
        <w:rPr>
          <w:rFonts w:ascii="Arial" w:hAnsi="Arial" w:hint="cs"/>
          <w:noProof w:val="0"/>
          <w:rtl/>
        </w:rPr>
        <w:tab/>
      </w:r>
      <w:r>
        <w:rPr>
          <w:rFonts w:ascii="Arial" w:hAnsi="Arial"/>
          <w:noProof w:val="0"/>
          <w:rtl/>
        </w:rPr>
        <w:br/>
      </w:r>
      <w:r>
        <w:rPr>
          <w:rFonts w:ascii="Arial" w:hAnsi="Arial" w:hint="cs"/>
          <w:noProof w:val="0"/>
          <w:rtl/>
        </w:rPr>
        <w:t xml:space="preserve">יודגש כבר כאן, כי גם אם מבחינה מילולית הפוליסה איננה מכסה את האירוע </w:t>
      </w:r>
      <w:r>
        <w:rPr>
          <w:rFonts w:ascii="Arial" w:hAnsi="Arial"/>
          <w:noProof w:val="0"/>
        </w:rPr>
        <w:t>)</w:t>
      </w:r>
      <w:r>
        <w:rPr>
          <w:rFonts w:ascii="Arial" w:hAnsi="Arial" w:hint="cs"/>
          <w:noProof w:val="0"/>
          <w:rtl/>
        </w:rPr>
        <w:t xml:space="preserve">ובחינה של הדבר תיערך בהמשך הדברים), נראה על פניו כי מבחינת אומד דעת הצדדים, כאשר התובע ביקש לצאת לנסיעה לחו"ל שעיקרה שייט, וכאשר הוא רכש במיוחד תוספת חריגה בגין </w:t>
      </w:r>
      <w:proofErr w:type="spellStart"/>
      <w:r>
        <w:rPr>
          <w:rFonts w:ascii="Arial" w:hAnsi="Arial" w:hint="cs"/>
          <w:noProof w:val="0"/>
          <w:rtl/>
        </w:rPr>
        <w:t>מגיפת</w:t>
      </w:r>
      <w:proofErr w:type="spellEnd"/>
      <w:r>
        <w:rPr>
          <w:rFonts w:ascii="Arial" w:hAnsi="Arial" w:hint="cs"/>
          <w:noProof w:val="0"/>
          <w:rtl/>
        </w:rPr>
        <w:t xml:space="preserve"> הקורונה, ובעקבות המגיפה אכן נמנע ממנו השייט שעמד בלב הנסיעה לחו"ל - ראוי היה שהנתבעת תפצה אותו, גם אם לפנים משורת הדין, כפי שנהגה הנתבעת 2 כלפי התובעת </w:t>
      </w:r>
      <w:r>
        <w:rPr>
          <w:rFonts w:ascii="Arial" w:hAnsi="Arial" w:hint="cs"/>
          <w:noProof w:val="0"/>
          <w:rtl/>
        </w:rPr>
        <w:lastRenderedPageBreak/>
        <w:t xml:space="preserve">2, באופן הוגן וכמצופה מחברת ביטוח. </w:t>
      </w:r>
      <w:r>
        <w:rPr>
          <w:rFonts w:ascii="Arial" w:hAnsi="Arial"/>
          <w:noProof w:val="0"/>
          <w:rtl/>
        </w:rPr>
        <w:tab/>
      </w:r>
      <w:r>
        <w:rPr>
          <w:rFonts w:ascii="Arial" w:hAnsi="Arial"/>
          <w:noProof w:val="0"/>
          <w:rtl/>
        </w:rPr>
        <w:br/>
      </w:r>
      <w:r>
        <w:rPr>
          <w:rFonts w:ascii="Arial" w:hAnsi="Arial" w:hint="cs"/>
          <w:noProof w:val="0"/>
          <w:rtl/>
        </w:rPr>
        <w:t>צר הדבר שהצדדים לא השכילו להגיע להסכמה ברוח זו.</w:t>
      </w:r>
    </w:p>
    <w:p w:rsidR="00230CD6" w:rsidRPr="00430B7B" w:rsidRDefault="00230CD6" w:rsidP="00230CD6">
      <w:pPr>
        <w:pStyle w:val="a9"/>
        <w:spacing w:before="120" w:line="400" w:lineRule="atLeast"/>
        <w:contextualSpacing w:val="0"/>
        <w:jc w:val="both"/>
        <w:rPr>
          <w:rFonts w:ascii="Arial" w:hAnsi="Arial"/>
          <w:noProof w:val="0"/>
        </w:rPr>
      </w:pPr>
    </w:p>
    <w:p w:rsidR="00230CD6" w:rsidRDefault="00230CD6" w:rsidP="00230CD6">
      <w:pPr>
        <w:pStyle w:val="a9"/>
        <w:numPr>
          <w:ilvl w:val="0"/>
          <w:numId w:val="1"/>
        </w:numPr>
        <w:spacing w:before="120" w:line="400" w:lineRule="atLeast"/>
        <w:contextualSpacing w:val="0"/>
        <w:jc w:val="both"/>
        <w:rPr>
          <w:rFonts w:ascii="Arial" w:hAnsi="Arial"/>
          <w:noProof w:val="0"/>
        </w:rPr>
      </w:pPr>
      <w:r w:rsidRPr="002D1D63">
        <w:rPr>
          <w:rFonts w:ascii="Arial" w:hAnsi="Arial" w:hint="cs"/>
          <w:b/>
          <w:bCs/>
          <w:noProof w:val="0"/>
          <w:rtl/>
        </w:rPr>
        <w:t>תנאי מקפח בחוזה אחיד</w:t>
      </w:r>
      <w:r w:rsidRPr="002D1D63">
        <w:rPr>
          <w:rFonts w:ascii="Arial" w:hAnsi="Arial" w:hint="cs"/>
          <w:noProof w:val="0"/>
          <w:rtl/>
        </w:rPr>
        <w:t xml:space="preserve"> - </w:t>
      </w:r>
      <w:r w:rsidRPr="002D1D63">
        <w:rPr>
          <w:rFonts w:ascii="Arial" w:hAnsi="Arial" w:hint="cs"/>
          <w:noProof w:val="0"/>
          <w:rtl/>
        </w:rPr>
        <w:tab/>
      </w:r>
      <w:r w:rsidRPr="002D1D63">
        <w:rPr>
          <w:rFonts w:ascii="Arial" w:hAnsi="Arial"/>
          <w:noProof w:val="0"/>
          <w:rtl/>
        </w:rPr>
        <w:br/>
      </w:r>
      <w:r w:rsidRPr="002D1D63">
        <w:rPr>
          <w:rFonts w:ascii="Arial" w:hAnsi="Arial" w:hint="cs"/>
          <w:noProof w:val="0"/>
          <w:rtl/>
        </w:rPr>
        <w:t>התובע טען כטענה מקדמית כי מדובר בתנאי מקפח בחוזה אחיד.</w:t>
      </w:r>
      <w:r w:rsidRPr="002D1D63">
        <w:rPr>
          <w:rFonts w:ascii="Arial" w:hAnsi="Arial"/>
          <w:noProof w:val="0"/>
          <w:rtl/>
        </w:rPr>
        <w:tab/>
      </w:r>
      <w:r w:rsidRPr="002D1D63">
        <w:rPr>
          <w:rFonts w:ascii="Arial" w:hAnsi="Arial"/>
          <w:noProof w:val="0"/>
          <w:rtl/>
        </w:rPr>
        <w:br/>
      </w:r>
      <w:r w:rsidRPr="002D1D63">
        <w:rPr>
          <w:rFonts w:ascii="Arial" w:hAnsi="Arial" w:hint="cs"/>
          <w:noProof w:val="0"/>
          <w:rtl/>
        </w:rPr>
        <w:t xml:space="preserve">הנתבעת טענה כי </w:t>
      </w:r>
      <w:r>
        <w:rPr>
          <w:rFonts w:ascii="Arial" w:hAnsi="Arial" w:hint="cs"/>
          <w:noProof w:val="0"/>
          <w:rtl/>
        </w:rPr>
        <w:t xml:space="preserve">התנאי איננו מקפח וכי </w:t>
      </w:r>
      <w:r w:rsidRPr="002D1D63">
        <w:rPr>
          <w:rFonts w:ascii="Arial" w:hAnsi="Arial" w:hint="cs"/>
          <w:noProof w:val="0"/>
          <w:rtl/>
        </w:rPr>
        <w:t xml:space="preserve">הפוליסה אושרה ע"י המפקח על הביטוח. </w:t>
      </w:r>
      <w:r w:rsidRPr="002D1D63">
        <w:rPr>
          <w:rFonts w:ascii="Arial" w:hAnsi="Arial"/>
          <w:noProof w:val="0"/>
          <w:rtl/>
        </w:rPr>
        <w:tab/>
      </w:r>
      <w:r w:rsidRPr="002D1D63">
        <w:rPr>
          <w:rFonts w:ascii="Arial" w:hAnsi="Arial"/>
          <w:noProof w:val="0"/>
          <w:rtl/>
        </w:rPr>
        <w:br/>
      </w:r>
      <w:r w:rsidRPr="002D1D63">
        <w:rPr>
          <w:rFonts w:ascii="Arial" w:hAnsi="Arial" w:hint="cs"/>
          <w:b/>
          <w:bCs/>
          <w:noProof w:val="0"/>
          <w:rtl/>
        </w:rPr>
        <w:t>ראשית</w:t>
      </w:r>
      <w:r w:rsidRPr="002D1D63">
        <w:rPr>
          <w:rFonts w:ascii="Arial" w:hAnsi="Arial" w:hint="cs"/>
          <w:noProof w:val="0"/>
          <w:rtl/>
        </w:rPr>
        <w:t>, יש לקבל את הצהרת נציג הנתבעת תחת אזהרה כי הפוליסה אושרה כדין ע"י המפקח על הביטוח והממונה על ההגבלים. אין סיבה שלא לקבל עדות זו של נציג הנתבעים, ה"מחסנת" את ההסכם מפני טענה בדבר קיפוח.</w:t>
      </w:r>
      <w:r w:rsidRPr="002D1D63">
        <w:rPr>
          <w:rFonts w:ascii="Arial" w:hAnsi="Arial"/>
          <w:noProof w:val="0"/>
          <w:rtl/>
        </w:rPr>
        <w:tab/>
      </w:r>
      <w:r w:rsidRPr="002D1D63">
        <w:rPr>
          <w:rFonts w:ascii="Arial" w:hAnsi="Arial"/>
          <w:noProof w:val="0"/>
          <w:rtl/>
        </w:rPr>
        <w:br/>
      </w:r>
      <w:r w:rsidRPr="002D1D63">
        <w:rPr>
          <w:rFonts w:ascii="Arial" w:hAnsi="Arial" w:hint="cs"/>
          <w:b/>
          <w:bCs/>
          <w:noProof w:val="0"/>
          <w:rtl/>
        </w:rPr>
        <w:t>שנית</w:t>
      </w:r>
      <w:r w:rsidRPr="002D1D63">
        <w:rPr>
          <w:rFonts w:ascii="Arial" w:hAnsi="Arial" w:hint="cs"/>
          <w:noProof w:val="0"/>
          <w:rtl/>
        </w:rPr>
        <w:t xml:space="preserve">, </w:t>
      </w:r>
      <w:r w:rsidRPr="002D1D63">
        <w:rPr>
          <w:rFonts w:ascii="Arial" w:hAnsi="Arial"/>
          <w:noProof w:val="0"/>
          <w:rtl/>
        </w:rPr>
        <w:t>ביסוד ה</w:t>
      </w:r>
      <w:r w:rsidRPr="002D1D63">
        <w:rPr>
          <w:rFonts w:ascii="Arial" w:hAnsi="Arial" w:hint="cs"/>
          <w:noProof w:val="0"/>
          <w:rtl/>
        </w:rPr>
        <w:t>ה</w:t>
      </w:r>
      <w:r w:rsidRPr="002D1D63">
        <w:rPr>
          <w:rFonts w:ascii="Arial" w:hAnsi="Arial"/>
          <w:noProof w:val="0"/>
          <w:rtl/>
        </w:rPr>
        <w:t xml:space="preserve">גנה </w:t>
      </w:r>
      <w:r w:rsidRPr="002D1D63">
        <w:rPr>
          <w:rFonts w:ascii="Arial" w:hAnsi="Arial" w:hint="cs"/>
          <w:noProof w:val="0"/>
          <w:rtl/>
        </w:rPr>
        <w:t>הקבועה בחוק החוזים האחידים,</w:t>
      </w:r>
      <w:r w:rsidRPr="002D1D63">
        <w:rPr>
          <w:rFonts w:ascii="Arial" w:hAnsi="Arial"/>
          <w:noProof w:val="0"/>
          <w:rtl/>
        </w:rPr>
        <w:t xml:space="preserve"> עומד חוסר השוויון שבין הצדדים</w:t>
      </w:r>
      <w:r w:rsidRPr="002D1D63">
        <w:rPr>
          <w:rFonts w:ascii="Arial" w:hAnsi="Arial" w:hint="cs"/>
          <w:noProof w:val="0"/>
          <w:rtl/>
        </w:rPr>
        <w:t>:</w:t>
      </w:r>
      <w:r w:rsidRPr="002D1D63">
        <w:rPr>
          <w:rFonts w:ascii="Arial" w:hAnsi="Arial"/>
          <w:noProof w:val="0"/>
          <w:rtl/>
        </w:rPr>
        <w:t xml:space="preserve"> תנאי מקפח הוא תנאי המגן על האינטרסים והערכים של צד אחד (ה"ספק") מעבר ל</w:t>
      </w:r>
      <w:r w:rsidRPr="002D1D63">
        <w:rPr>
          <w:rFonts w:ascii="Arial" w:hAnsi="Arial" w:hint="cs"/>
          <w:noProof w:val="0"/>
          <w:rtl/>
        </w:rPr>
        <w:t>מה ש</w:t>
      </w:r>
      <w:r w:rsidRPr="002D1D63">
        <w:rPr>
          <w:rFonts w:ascii="Arial" w:hAnsi="Arial"/>
          <w:noProof w:val="0"/>
          <w:rtl/>
        </w:rPr>
        <w:t>נתפס כהוגן בסוג זה של התקשרות. ה'קיפוח' שחוק החוזים האחידים אוסר עליו, הוא קיפוח הנגזר מחוסר השוויון שביחסי הכוחות בין הצדדים. הגינותו או חוסר הגינותו של תנאי פלוני אינה נבחנת על-פי כלליה של תורה כלכלית זו או אחרת, אלא על-פי התפיסות המוסריות והחברתיות הנוהגות בחברה חופשית בעלת משטר חוקתי וחברתי כגון זו שלנו</w:t>
      </w:r>
      <w:r w:rsidRPr="002D1D63">
        <w:rPr>
          <w:rFonts w:ascii="Arial" w:hAnsi="Arial" w:hint="cs"/>
          <w:noProof w:val="0"/>
          <w:rtl/>
        </w:rPr>
        <w:t xml:space="preserve"> (</w:t>
      </w:r>
      <w:r w:rsidRPr="002D1D63">
        <w:rPr>
          <w:rFonts w:ascii="Arial" w:hAnsi="Arial"/>
          <w:noProof w:val="0"/>
          <w:rtl/>
        </w:rPr>
        <w:t xml:space="preserve">רע"א 1185/97 </w:t>
      </w:r>
      <w:r w:rsidRPr="002D1D63">
        <w:rPr>
          <w:rFonts w:ascii="Arial" w:hAnsi="Arial"/>
          <w:b/>
          <w:bCs/>
          <w:noProof w:val="0"/>
          <w:rtl/>
        </w:rPr>
        <w:t xml:space="preserve">יורשי ומנהלי עיזבון המנוחה </w:t>
      </w:r>
      <w:proofErr w:type="spellStart"/>
      <w:r w:rsidRPr="002D1D63">
        <w:rPr>
          <w:rFonts w:ascii="Arial" w:hAnsi="Arial"/>
          <w:b/>
          <w:bCs/>
          <w:noProof w:val="0"/>
          <w:rtl/>
        </w:rPr>
        <w:t>מילגרום</w:t>
      </w:r>
      <w:proofErr w:type="spellEnd"/>
      <w:r w:rsidRPr="002D1D63">
        <w:rPr>
          <w:rFonts w:ascii="Arial" w:hAnsi="Arial"/>
          <w:b/>
          <w:bCs/>
          <w:noProof w:val="0"/>
          <w:rtl/>
        </w:rPr>
        <w:t xml:space="preserve"> </w:t>
      </w:r>
      <w:proofErr w:type="spellStart"/>
      <w:r w:rsidRPr="002D1D63">
        <w:rPr>
          <w:rFonts w:ascii="Arial" w:hAnsi="Arial"/>
          <w:b/>
          <w:bCs/>
          <w:noProof w:val="0"/>
          <w:rtl/>
        </w:rPr>
        <w:t>הינדה</w:t>
      </w:r>
      <w:proofErr w:type="spellEnd"/>
      <w:r w:rsidRPr="002D1D63">
        <w:rPr>
          <w:rFonts w:ascii="Arial" w:hAnsi="Arial"/>
          <w:b/>
          <w:bCs/>
          <w:noProof w:val="0"/>
          <w:rtl/>
        </w:rPr>
        <w:t xml:space="preserve"> ז"ל נ' מרכז משען</w:t>
      </w:r>
      <w:r w:rsidRPr="002D1D63">
        <w:rPr>
          <w:rFonts w:ascii="Arial" w:hAnsi="Arial" w:hint="cs"/>
          <w:noProof w:val="0"/>
          <w:rtl/>
        </w:rPr>
        <w:t>, פ"ד</w:t>
      </w:r>
      <w:r w:rsidRPr="002D1D63">
        <w:rPr>
          <w:rFonts w:ascii="Arial" w:hAnsi="Arial"/>
          <w:noProof w:val="0"/>
          <w:rtl/>
        </w:rPr>
        <w:t xml:space="preserve"> נב(4) 145 (1998)</w:t>
      </w:r>
      <w:r w:rsidRPr="002D1D63">
        <w:rPr>
          <w:rFonts w:ascii="Arial" w:hAnsi="Arial" w:hint="cs"/>
          <w:noProof w:val="0"/>
          <w:rtl/>
        </w:rPr>
        <w:t xml:space="preserve"> והפסיקה הרבה המאוזכרת שם).</w:t>
      </w:r>
      <w:r w:rsidRPr="002D1D63">
        <w:rPr>
          <w:rFonts w:ascii="Arial" w:hAnsi="Arial"/>
          <w:noProof w:val="0"/>
          <w:rtl/>
        </w:rPr>
        <w:t>‏‏</w:t>
      </w:r>
      <w:r w:rsidRPr="002D1D63">
        <w:rPr>
          <w:rFonts w:ascii="Arial" w:hAnsi="Arial"/>
          <w:noProof w:val="0"/>
          <w:rtl/>
        </w:rPr>
        <w:tab/>
      </w:r>
      <w:r w:rsidRPr="002D1D63">
        <w:rPr>
          <w:rFonts w:ascii="Arial" w:hAnsi="Arial"/>
          <w:noProof w:val="0"/>
          <w:rtl/>
        </w:rPr>
        <w:br/>
      </w:r>
      <w:r w:rsidRPr="002D1D63">
        <w:rPr>
          <w:rFonts w:ascii="Arial" w:hAnsi="Arial" w:hint="cs"/>
          <w:noProof w:val="0"/>
          <w:rtl/>
        </w:rPr>
        <w:t>בענייננו, התובע לא הבהיר מהי המהות המקפחת בסעיף שבפוליסה</w:t>
      </w:r>
      <w:r>
        <w:rPr>
          <w:rFonts w:ascii="Arial" w:hAnsi="Arial" w:hint="cs"/>
          <w:noProof w:val="0"/>
          <w:rtl/>
        </w:rPr>
        <w:t>, אשר מעידה על חוסר הגינות בניסוח שמעצם טיבו מפלה ומקפח את הלקוח</w:t>
      </w:r>
      <w:r w:rsidRPr="002D1D63">
        <w:rPr>
          <w:rFonts w:ascii="Arial" w:hAnsi="Arial" w:hint="cs"/>
          <w:noProof w:val="0"/>
          <w:rtl/>
        </w:rPr>
        <w:t xml:space="preserve">. </w:t>
      </w:r>
      <w:r>
        <w:rPr>
          <w:rFonts w:ascii="Arial" w:hAnsi="Arial"/>
          <w:noProof w:val="0"/>
          <w:rtl/>
        </w:rPr>
        <w:tab/>
      </w:r>
      <w:r>
        <w:rPr>
          <w:rFonts w:ascii="Arial" w:hAnsi="Arial"/>
          <w:noProof w:val="0"/>
          <w:rtl/>
        </w:rPr>
        <w:br/>
      </w:r>
      <w:r w:rsidRPr="002D1D63">
        <w:rPr>
          <w:rFonts w:ascii="Arial" w:hAnsi="Arial" w:hint="cs"/>
          <w:noProof w:val="0"/>
          <w:rtl/>
        </w:rPr>
        <w:t xml:space="preserve">מדובר בהרחבת הפוליסה לסיכוני קורונה, כאשר הסעיף עצמו, על פניו, איננו סעיף מקפח. אף אחת מהחזקות שבחוק החוזים האחידים איננה נוגעת לסעיף. הסעיף איננו נותן עדיפות בלתי הוגנת לספק. </w:t>
      </w:r>
      <w:r>
        <w:rPr>
          <w:rFonts w:ascii="Arial" w:hAnsi="Arial"/>
          <w:noProof w:val="0"/>
          <w:rtl/>
        </w:rPr>
        <w:tab/>
      </w:r>
      <w:r>
        <w:rPr>
          <w:rFonts w:ascii="Arial" w:hAnsi="Arial"/>
          <w:noProof w:val="0"/>
          <w:rtl/>
        </w:rPr>
        <w:br/>
      </w:r>
      <w:r>
        <w:rPr>
          <w:rFonts w:ascii="Arial" w:hAnsi="Arial" w:hint="cs"/>
          <w:noProof w:val="0"/>
          <w:rtl/>
        </w:rPr>
        <w:t xml:space="preserve">בתקופת </w:t>
      </w:r>
      <w:proofErr w:type="spellStart"/>
      <w:r>
        <w:rPr>
          <w:rFonts w:ascii="Arial" w:hAnsi="Arial" w:hint="cs"/>
          <w:noProof w:val="0"/>
          <w:rtl/>
        </w:rPr>
        <w:t>מגיפת</w:t>
      </w:r>
      <w:proofErr w:type="spellEnd"/>
      <w:r>
        <w:rPr>
          <w:rFonts w:ascii="Arial" w:hAnsi="Arial" w:hint="cs"/>
          <w:noProof w:val="0"/>
          <w:rtl/>
        </w:rPr>
        <w:t xml:space="preserve"> הקורונה אכן היו לא מעט נזקים צפויים כגון</w:t>
      </w:r>
      <w:r w:rsidRPr="0052672B">
        <w:rPr>
          <w:rFonts w:ascii="Arial" w:hAnsi="Arial" w:hint="cs"/>
          <w:noProof w:val="0"/>
          <w:rtl/>
        </w:rPr>
        <w:t xml:space="preserve"> </w:t>
      </w:r>
      <w:r>
        <w:rPr>
          <w:rFonts w:ascii="Arial" w:hAnsi="Arial" w:hint="cs"/>
          <w:noProof w:val="0"/>
          <w:rtl/>
        </w:rPr>
        <w:t xml:space="preserve">ביטול נסיעה לחו"ל עקב הידבקות בנגיף, סגר במדינה </w:t>
      </w:r>
      <w:proofErr w:type="spellStart"/>
      <w:r>
        <w:rPr>
          <w:rFonts w:ascii="Arial" w:hAnsi="Arial" w:hint="cs"/>
          <w:noProof w:val="0"/>
          <w:rtl/>
        </w:rPr>
        <w:t>מסויימת</w:t>
      </w:r>
      <w:proofErr w:type="spellEnd"/>
      <w:r>
        <w:rPr>
          <w:rFonts w:ascii="Arial" w:hAnsi="Arial" w:hint="cs"/>
          <w:noProof w:val="0"/>
          <w:rtl/>
        </w:rPr>
        <w:t xml:space="preserve"> בחו"ל, הכרח להאריך שהות בחו"ל עקב המגיפה, אשפוז או בידוד בחו"ל. הנתבעת ביטחה את כל אחד מהסיכונים הצפויים הללו, והפוליסה קיבלה ובצדק את אישור הגורמים המוסמכים. </w:t>
      </w:r>
      <w:r>
        <w:rPr>
          <w:rFonts w:ascii="Arial" w:hAnsi="Arial" w:hint="cs"/>
          <w:noProof w:val="0"/>
          <w:rtl/>
        </w:rPr>
        <w:tab/>
      </w:r>
      <w:r>
        <w:rPr>
          <w:rFonts w:ascii="Arial" w:hAnsi="Arial"/>
          <w:noProof w:val="0"/>
          <w:rtl/>
        </w:rPr>
        <w:br/>
      </w:r>
      <w:r>
        <w:rPr>
          <w:rFonts w:ascii="Arial" w:hAnsi="Arial" w:hint="cs"/>
          <w:noProof w:val="0"/>
          <w:rtl/>
        </w:rPr>
        <w:t xml:space="preserve">דא עקא, בענייננו </w:t>
      </w:r>
      <w:r w:rsidRPr="002D1D63">
        <w:rPr>
          <w:rFonts w:ascii="Arial" w:hAnsi="Arial" w:hint="cs"/>
          <w:noProof w:val="0"/>
          <w:rtl/>
        </w:rPr>
        <w:t xml:space="preserve">מדובר כפי הנראה בסיטואציה חריגה, של גילוי קורונה </w:t>
      </w:r>
      <w:r w:rsidRPr="000C1708">
        <w:rPr>
          <w:rFonts w:ascii="Arial" w:hAnsi="Arial" w:hint="cs"/>
          <w:b/>
          <w:bCs/>
          <w:noProof w:val="0"/>
          <w:rtl/>
        </w:rPr>
        <w:t>במהלך נסיעה לחו"ל, אשר מביאה לביטול שייט שהיווה לב הטיול</w:t>
      </w:r>
      <w:r w:rsidRPr="002D1D63">
        <w:rPr>
          <w:rFonts w:ascii="Arial" w:hAnsi="Arial" w:hint="cs"/>
          <w:noProof w:val="0"/>
          <w:rtl/>
        </w:rPr>
        <w:t xml:space="preserve">, סיטואציה שעליה לא חשבה המבטחת </w:t>
      </w:r>
      <w:r>
        <w:rPr>
          <w:rFonts w:ascii="Arial" w:hAnsi="Arial" w:hint="cs"/>
          <w:noProof w:val="0"/>
          <w:rtl/>
        </w:rPr>
        <w:t xml:space="preserve">(ומסתמא גם הגורם המאשר) </w:t>
      </w:r>
      <w:r w:rsidRPr="002D1D63">
        <w:rPr>
          <w:rFonts w:ascii="Arial" w:hAnsi="Arial" w:hint="cs"/>
          <w:noProof w:val="0"/>
          <w:rtl/>
        </w:rPr>
        <w:t>בעת שניס</w:t>
      </w:r>
      <w:r>
        <w:rPr>
          <w:rFonts w:ascii="Arial" w:hAnsi="Arial" w:hint="cs"/>
          <w:noProof w:val="0"/>
          <w:rtl/>
        </w:rPr>
        <w:t>ח</w:t>
      </w:r>
      <w:r w:rsidRPr="002D1D63">
        <w:rPr>
          <w:rFonts w:ascii="Arial" w:hAnsi="Arial" w:hint="cs"/>
          <w:noProof w:val="0"/>
          <w:rtl/>
        </w:rPr>
        <w:t xml:space="preserve">ה את ההסכם והביאה אותו לאישור הגורמים הנדרשים. </w:t>
      </w:r>
      <w:r>
        <w:rPr>
          <w:rFonts w:ascii="Arial" w:hAnsi="Arial"/>
          <w:noProof w:val="0"/>
          <w:rtl/>
        </w:rPr>
        <w:tab/>
      </w:r>
      <w:r>
        <w:rPr>
          <w:rFonts w:ascii="Arial" w:hAnsi="Arial"/>
          <w:noProof w:val="0"/>
          <w:rtl/>
        </w:rPr>
        <w:br/>
      </w:r>
      <w:r>
        <w:rPr>
          <w:rFonts w:ascii="Arial" w:hAnsi="Arial" w:hint="cs"/>
          <w:noProof w:val="0"/>
          <w:rtl/>
        </w:rPr>
        <w:t xml:space="preserve">פרק 5.10 הנוגע לסיכוני קורונה מונה שורה של נסיבות בהן יינתן פיצוי. </w:t>
      </w:r>
      <w:r>
        <w:rPr>
          <w:rFonts w:ascii="Arial" w:hAnsi="Arial"/>
          <w:b/>
          <w:bCs/>
          <w:noProof w:val="0"/>
          <w:rtl/>
        </w:rPr>
        <w:tab/>
      </w:r>
      <w:r>
        <w:rPr>
          <w:rFonts w:ascii="Arial" w:hAnsi="Arial"/>
          <w:b/>
          <w:bCs/>
          <w:noProof w:val="0"/>
          <w:rtl/>
        </w:rPr>
        <w:br/>
      </w:r>
      <w:r w:rsidRPr="000C1708">
        <w:rPr>
          <w:rFonts w:ascii="Arial" w:hAnsi="Arial" w:hint="cs"/>
          <w:b/>
          <w:bCs/>
          <w:noProof w:val="0"/>
          <w:rtl/>
        </w:rPr>
        <w:lastRenderedPageBreak/>
        <w:t>העדר</w:t>
      </w:r>
      <w:r>
        <w:rPr>
          <w:rFonts w:ascii="Arial" w:hAnsi="Arial" w:hint="cs"/>
          <w:noProof w:val="0"/>
          <w:rtl/>
        </w:rPr>
        <w:t xml:space="preserve"> של חלופה נוספת של ביטול שייט (או כל פעילות נופש אחרת) ב</w:t>
      </w:r>
      <w:r w:rsidRPr="000C1708">
        <w:rPr>
          <w:rFonts w:ascii="Arial" w:hAnsi="Arial" w:hint="cs"/>
          <w:b/>
          <w:bCs/>
          <w:noProof w:val="0"/>
          <w:rtl/>
        </w:rPr>
        <w:t>מהלך</w:t>
      </w:r>
      <w:r>
        <w:rPr>
          <w:rFonts w:ascii="Arial" w:hAnsi="Arial" w:hint="cs"/>
          <w:noProof w:val="0"/>
          <w:rtl/>
        </w:rPr>
        <w:t xml:space="preserve"> החופשה לחו"ל, איננו כשלעצמו בגדר "סעיף מקפח", שכן אין מוטבע בו חוסר הגינות הנובע מיחסי כוחות שאינם שוויוניים. </w:t>
      </w:r>
      <w:r w:rsidRPr="002D1D63">
        <w:rPr>
          <w:rFonts w:ascii="Arial" w:hAnsi="Arial" w:hint="cs"/>
          <w:noProof w:val="0"/>
          <w:rtl/>
        </w:rPr>
        <w:tab/>
      </w:r>
      <w:r w:rsidRPr="002D1D63">
        <w:rPr>
          <w:rFonts w:ascii="Arial" w:hAnsi="Arial"/>
          <w:noProof w:val="0"/>
          <w:rtl/>
        </w:rPr>
        <w:br/>
      </w:r>
      <w:r w:rsidRPr="002D1D63">
        <w:rPr>
          <w:rFonts w:ascii="Arial" w:hAnsi="Arial" w:hint="cs"/>
          <w:noProof w:val="0"/>
          <w:rtl/>
        </w:rPr>
        <w:t>בנסיבות אלה, אני דוחה את הטיעון המקדמי בדבר ביטול הסעיף מחמת היותו מקפח.</w:t>
      </w:r>
    </w:p>
    <w:p w:rsidR="00230CD6" w:rsidRDefault="00230CD6" w:rsidP="00230CD6">
      <w:pPr>
        <w:pStyle w:val="a9"/>
        <w:spacing w:before="120" w:line="400" w:lineRule="atLeast"/>
        <w:contextualSpacing w:val="0"/>
        <w:jc w:val="both"/>
        <w:rPr>
          <w:rFonts w:ascii="Arial" w:hAnsi="Arial"/>
          <w:noProof w:val="0"/>
        </w:rPr>
      </w:pPr>
    </w:p>
    <w:p w:rsidR="00230CD6" w:rsidRPr="00092ABC" w:rsidRDefault="00230CD6" w:rsidP="00230CD6">
      <w:pPr>
        <w:pStyle w:val="a9"/>
        <w:numPr>
          <w:ilvl w:val="0"/>
          <w:numId w:val="1"/>
        </w:numPr>
        <w:spacing w:before="120" w:line="400" w:lineRule="atLeast"/>
        <w:contextualSpacing w:val="0"/>
        <w:jc w:val="both"/>
        <w:rPr>
          <w:rFonts w:ascii="Arial" w:hAnsi="Arial"/>
          <w:noProof w:val="0"/>
        </w:rPr>
      </w:pPr>
      <w:r w:rsidRPr="00100F05">
        <w:rPr>
          <w:rFonts w:ascii="Arial" w:hAnsi="Arial" w:hint="cs"/>
          <w:b/>
          <w:bCs/>
          <w:noProof w:val="0"/>
          <w:rtl/>
        </w:rPr>
        <w:t xml:space="preserve">סעיף ספציפי גובר על סעיף כללי </w:t>
      </w:r>
      <w:r w:rsidRPr="00100F05">
        <w:rPr>
          <w:rFonts w:ascii="Arial" w:hAnsi="Arial" w:hint="cs"/>
          <w:b/>
          <w:bCs/>
          <w:noProof w:val="0"/>
          <w:rtl/>
        </w:rPr>
        <w:tab/>
      </w:r>
      <w:r w:rsidRPr="00100F05">
        <w:rPr>
          <w:rFonts w:ascii="Arial" w:hAnsi="Arial"/>
          <w:b/>
          <w:bCs/>
          <w:noProof w:val="0"/>
          <w:rtl/>
        </w:rPr>
        <w:br/>
      </w:r>
      <w:r w:rsidRPr="00100F05">
        <w:rPr>
          <w:rFonts w:ascii="Arial" w:hAnsi="Arial" w:hint="cs"/>
          <w:noProof w:val="0"/>
          <w:rtl/>
        </w:rPr>
        <w:t>התובע טען, ובצדק</w:t>
      </w:r>
      <w:r>
        <w:rPr>
          <w:rFonts w:ascii="Arial" w:hAnsi="Arial" w:hint="cs"/>
          <w:noProof w:val="0"/>
          <w:rtl/>
        </w:rPr>
        <w:t xml:space="preserve">, כי סעיף ספציפי גובר תמיד על סעיף כללי, ולכן לטענתו, הפרק הנוגע להרחבות קורונה, גובר על הפרק הכללי המגדיר פיצוי בגין קיצור נסיעה או ביטולה. </w:t>
      </w:r>
      <w:r>
        <w:rPr>
          <w:rFonts w:ascii="Arial" w:hAnsi="Arial"/>
          <w:noProof w:val="0"/>
          <w:rtl/>
        </w:rPr>
        <w:tab/>
      </w:r>
      <w:r>
        <w:rPr>
          <w:rFonts w:ascii="Arial" w:hAnsi="Arial"/>
          <w:noProof w:val="0"/>
          <w:rtl/>
        </w:rPr>
        <w:br/>
      </w:r>
      <w:r>
        <w:rPr>
          <w:rFonts w:ascii="Arial" w:hAnsi="Arial" w:hint="cs"/>
          <w:noProof w:val="0"/>
          <w:rtl/>
        </w:rPr>
        <w:t xml:space="preserve">אכן, סעיף ספציפי גובר על סעיף כללי, אולם זאת רק כאשר יש סתירה בין השניים. </w:t>
      </w:r>
      <w:r>
        <w:rPr>
          <w:rFonts w:ascii="Arial" w:hAnsi="Arial"/>
          <w:noProof w:val="0"/>
          <w:rtl/>
        </w:rPr>
        <w:tab/>
      </w:r>
      <w:r>
        <w:rPr>
          <w:rFonts w:ascii="Arial" w:hAnsi="Arial"/>
          <w:noProof w:val="0"/>
          <w:rtl/>
        </w:rPr>
        <w:br/>
      </w:r>
      <w:r>
        <w:rPr>
          <w:rFonts w:ascii="Arial" w:hAnsi="Arial" w:hint="cs"/>
          <w:noProof w:val="0"/>
          <w:rtl/>
        </w:rPr>
        <w:t xml:space="preserve">כפי שנפסק: </w:t>
      </w:r>
      <w:r w:rsidRPr="00092ABC">
        <w:rPr>
          <w:rFonts w:ascii="Arial" w:hAnsi="Arial"/>
          <w:noProof w:val="0"/>
          <w:rtl/>
        </w:rPr>
        <w:t xml:space="preserve">"כלל זה חל כל אימת שקיימת התנגשות או סתירה בין הוראת דין כללית לבין הוראת דין ספציפית. הכלל מיישב את הסתירה ומכריע בהתנגשות בין הוראות דין כאמור, בקבעו כי ידה של ההוראה הספציפית תהא על העליונה" </w:t>
      </w:r>
      <w:r>
        <w:rPr>
          <w:rFonts w:ascii="Arial" w:hAnsi="Arial" w:hint="cs"/>
          <w:noProof w:val="0"/>
          <w:rtl/>
        </w:rPr>
        <w:t>(</w:t>
      </w:r>
      <w:r w:rsidRPr="00092ABC">
        <w:rPr>
          <w:rFonts w:ascii="Arial" w:hAnsi="Arial"/>
          <w:noProof w:val="0"/>
          <w:rtl/>
        </w:rPr>
        <w:t xml:space="preserve">ע"א 9817/17 </w:t>
      </w:r>
      <w:r w:rsidRPr="00092ABC">
        <w:rPr>
          <w:rFonts w:ascii="Arial" w:hAnsi="Arial"/>
          <w:b/>
          <w:bCs/>
          <w:noProof w:val="0"/>
          <w:rtl/>
        </w:rPr>
        <w:t>מנהל מיסוי מקרקעין תל אביב נ' מיטל אביבי רייך</w:t>
      </w:r>
      <w:r w:rsidRPr="00092ABC">
        <w:rPr>
          <w:rFonts w:ascii="Arial" w:hAnsi="Arial"/>
          <w:noProof w:val="0"/>
          <w:rtl/>
        </w:rPr>
        <w:t xml:space="preserve"> (21.02.2021)‏‏</w:t>
      </w:r>
      <w:r w:rsidRPr="00092ABC">
        <w:rPr>
          <w:rFonts w:ascii="Arial" w:hAnsi="Arial" w:hint="cs"/>
          <w:noProof w:val="0"/>
          <w:rtl/>
        </w:rPr>
        <w:t xml:space="preserve"> פסקה 7</w:t>
      </w:r>
      <w:r>
        <w:rPr>
          <w:rFonts w:ascii="Arial" w:hAnsi="Arial" w:hint="cs"/>
          <w:noProof w:val="0"/>
          <w:rtl/>
        </w:rPr>
        <w:t xml:space="preserve"> לפסה"ד).</w:t>
      </w:r>
    </w:p>
    <w:p w:rsidR="00230CD6" w:rsidRPr="00092ABC" w:rsidRDefault="00230CD6" w:rsidP="00230CD6">
      <w:pPr>
        <w:pStyle w:val="a9"/>
        <w:rPr>
          <w:rFonts w:ascii="Arial" w:hAnsi="Arial"/>
          <w:noProof w:val="0"/>
          <w:rtl/>
        </w:rPr>
      </w:pPr>
    </w:p>
    <w:p w:rsidR="00230CD6" w:rsidRDefault="00230CD6" w:rsidP="00230CD6">
      <w:pPr>
        <w:pStyle w:val="a9"/>
        <w:numPr>
          <w:ilvl w:val="0"/>
          <w:numId w:val="1"/>
        </w:numPr>
        <w:spacing w:before="120" w:line="400" w:lineRule="atLeast"/>
        <w:contextualSpacing w:val="0"/>
        <w:jc w:val="both"/>
        <w:rPr>
          <w:rFonts w:ascii="Arial" w:hAnsi="Arial"/>
          <w:noProof w:val="0"/>
        </w:rPr>
      </w:pPr>
      <w:r>
        <w:rPr>
          <w:rFonts w:ascii="Arial" w:hAnsi="Arial" w:hint="cs"/>
          <w:noProof w:val="0"/>
          <w:rtl/>
        </w:rPr>
        <w:t xml:space="preserve">בענייננו, אין כל סתירה. </w:t>
      </w:r>
      <w:r>
        <w:rPr>
          <w:rFonts w:ascii="Arial" w:hAnsi="Arial"/>
          <w:noProof w:val="0"/>
          <w:rtl/>
        </w:rPr>
        <w:tab/>
      </w:r>
      <w:r>
        <w:rPr>
          <w:rFonts w:ascii="Arial" w:hAnsi="Arial"/>
          <w:noProof w:val="0"/>
          <w:rtl/>
        </w:rPr>
        <w:br/>
      </w:r>
      <w:r>
        <w:rPr>
          <w:rFonts w:ascii="Arial" w:hAnsi="Arial" w:hint="cs"/>
          <w:noProof w:val="0"/>
          <w:rtl/>
        </w:rPr>
        <w:t xml:space="preserve">בפתיח הפוליסה נמצא פרק 1 שהוא פרק כללי של "הגדרות" אשר חל על הפוליסה כולה, במסגרתו הוגדרו "ביטול נסיעה" וגם: "קיצור נסיעה". </w:t>
      </w:r>
      <w:r>
        <w:rPr>
          <w:rFonts w:ascii="Arial" w:hAnsi="Arial"/>
          <w:noProof w:val="0"/>
          <w:rtl/>
        </w:rPr>
        <w:tab/>
      </w:r>
      <w:r>
        <w:rPr>
          <w:rFonts w:ascii="Arial" w:hAnsi="Arial"/>
          <w:noProof w:val="0"/>
          <w:rtl/>
        </w:rPr>
        <w:br/>
      </w:r>
      <w:r>
        <w:rPr>
          <w:rFonts w:ascii="Arial" w:hAnsi="Arial" w:hint="cs"/>
          <w:noProof w:val="0"/>
          <w:rtl/>
        </w:rPr>
        <w:t xml:space="preserve">פרק 5.10 לגבי הרחבות קורונה, איננו כולל הגדרה אחרת אשר גוברת על ההגדרה הכללית שבפתח הפוליסה. </w:t>
      </w:r>
      <w:r>
        <w:rPr>
          <w:rFonts w:ascii="Arial" w:hAnsi="Arial"/>
          <w:noProof w:val="0"/>
          <w:rtl/>
        </w:rPr>
        <w:tab/>
      </w:r>
      <w:r>
        <w:rPr>
          <w:rFonts w:ascii="Arial" w:hAnsi="Arial"/>
          <w:noProof w:val="0"/>
          <w:rtl/>
        </w:rPr>
        <w:br/>
      </w:r>
      <w:r>
        <w:rPr>
          <w:rFonts w:ascii="Arial" w:hAnsi="Arial" w:hint="cs"/>
          <w:noProof w:val="0"/>
          <w:rtl/>
        </w:rPr>
        <w:t>בנסיבות אלה, למרות הכלל לפיו נוסח ספציפי גובר על נוסח כללי, אין מקום שלא להתייחס להגדרות הכלליות של ביטול או קיצור נסיעה.</w:t>
      </w:r>
    </w:p>
    <w:p w:rsidR="00230CD6" w:rsidRPr="00541641" w:rsidRDefault="00230CD6" w:rsidP="00230CD6">
      <w:pPr>
        <w:spacing w:before="120" w:line="400" w:lineRule="atLeast"/>
        <w:jc w:val="both"/>
        <w:rPr>
          <w:rFonts w:ascii="Arial" w:hAnsi="Arial"/>
          <w:noProof w:val="0"/>
        </w:rPr>
      </w:pPr>
    </w:p>
    <w:p w:rsidR="00230CD6" w:rsidRDefault="00230CD6" w:rsidP="00230CD6">
      <w:pPr>
        <w:pStyle w:val="a9"/>
        <w:numPr>
          <w:ilvl w:val="0"/>
          <w:numId w:val="1"/>
        </w:numPr>
        <w:spacing w:before="120" w:line="400" w:lineRule="atLeast"/>
        <w:contextualSpacing w:val="0"/>
        <w:jc w:val="both"/>
        <w:rPr>
          <w:rFonts w:ascii="Arial" w:hAnsi="Arial"/>
          <w:noProof w:val="0"/>
        </w:rPr>
      </w:pPr>
      <w:r>
        <w:rPr>
          <w:rFonts w:ascii="Arial" w:hAnsi="Arial" w:hint="cs"/>
          <w:b/>
          <w:bCs/>
          <w:noProof w:val="0"/>
          <w:rtl/>
        </w:rPr>
        <w:t>ביטול השייט כביטול נסיעה</w:t>
      </w:r>
      <w:r>
        <w:rPr>
          <w:rFonts w:ascii="Arial" w:hAnsi="Arial" w:hint="cs"/>
          <w:b/>
          <w:bCs/>
          <w:noProof w:val="0"/>
          <w:rtl/>
        </w:rPr>
        <w:tab/>
      </w:r>
      <w:r>
        <w:rPr>
          <w:rFonts w:ascii="Arial" w:hAnsi="Arial"/>
          <w:b/>
          <w:bCs/>
          <w:noProof w:val="0"/>
          <w:rtl/>
        </w:rPr>
        <w:br/>
      </w:r>
      <w:r>
        <w:rPr>
          <w:rFonts w:ascii="Arial" w:hAnsi="Arial" w:hint="cs"/>
          <w:noProof w:val="0"/>
          <w:rtl/>
        </w:rPr>
        <w:t xml:space="preserve">התובע טען, כי כאשר השייט היה לב הנסיעה לחו"ל </w:t>
      </w:r>
      <w:r>
        <w:rPr>
          <w:rFonts w:ascii="Arial" w:hAnsi="Arial"/>
          <w:noProof w:val="0"/>
          <w:rtl/>
        </w:rPr>
        <w:t>–</w:t>
      </w:r>
      <w:r>
        <w:rPr>
          <w:rFonts w:ascii="Arial" w:hAnsi="Arial" w:hint="cs"/>
          <w:noProof w:val="0"/>
          <w:rtl/>
        </w:rPr>
        <w:t xml:space="preserve"> יש לראות בביטול השייט כביטול הנסיעה כולה. </w:t>
      </w:r>
      <w:r>
        <w:rPr>
          <w:rFonts w:ascii="Arial" w:hAnsi="Arial"/>
          <w:noProof w:val="0"/>
          <w:rtl/>
        </w:rPr>
        <w:tab/>
      </w:r>
      <w:r>
        <w:rPr>
          <w:rFonts w:ascii="Arial" w:hAnsi="Arial"/>
          <w:noProof w:val="0"/>
          <w:rtl/>
        </w:rPr>
        <w:br/>
      </w:r>
      <w:r>
        <w:rPr>
          <w:rFonts w:ascii="Arial" w:hAnsi="Arial" w:hint="cs"/>
          <w:noProof w:val="0"/>
          <w:rtl/>
        </w:rPr>
        <w:t xml:space="preserve">קשה לקבל את טענת התובע. </w:t>
      </w:r>
      <w:r>
        <w:rPr>
          <w:rFonts w:ascii="Arial" w:hAnsi="Arial"/>
          <w:noProof w:val="0"/>
          <w:rtl/>
        </w:rPr>
        <w:tab/>
      </w:r>
      <w:r>
        <w:rPr>
          <w:rFonts w:ascii="Arial" w:hAnsi="Arial"/>
          <w:noProof w:val="0"/>
          <w:rtl/>
        </w:rPr>
        <w:br/>
      </w:r>
      <w:r>
        <w:rPr>
          <w:rFonts w:ascii="Arial" w:hAnsi="Arial" w:hint="cs"/>
          <w:noProof w:val="0"/>
          <w:rtl/>
        </w:rPr>
        <w:t xml:space="preserve">התובע רכש נסיעה לחו"ל אשר כללה, בין היתר, </w:t>
      </w:r>
      <w:r w:rsidRPr="00092ABC">
        <w:rPr>
          <w:rFonts w:ascii="Arial" w:hAnsi="Arial" w:hint="cs"/>
          <w:b/>
          <w:bCs/>
          <w:noProof w:val="0"/>
          <w:rtl/>
        </w:rPr>
        <w:t>גם</w:t>
      </w:r>
      <w:r>
        <w:rPr>
          <w:rFonts w:ascii="Arial" w:hAnsi="Arial" w:hint="cs"/>
          <w:noProof w:val="0"/>
          <w:rtl/>
        </w:rPr>
        <w:t xml:space="preserve"> שייט. הוא רכש גם עוד לילות במלונות לפני השייט ולאחריו. לפיכך גם אם השייט היה מרכזי בנסיעה לחו"ל, קשה לראות בביטול השייט ביטול של הנסיעה כולה לחו"ל.</w:t>
      </w:r>
    </w:p>
    <w:p w:rsidR="00230CD6" w:rsidRPr="00092ABC" w:rsidRDefault="00230CD6" w:rsidP="00230CD6">
      <w:pPr>
        <w:spacing w:before="120" w:line="400" w:lineRule="atLeast"/>
        <w:jc w:val="both"/>
        <w:rPr>
          <w:rFonts w:ascii="Arial" w:hAnsi="Arial"/>
          <w:noProof w:val="0"/>
        </w:rPr>
      </w:pPr>
      <w:r w:rsidRPr="00092ABC">
        <w:rPr>
          <w:rFonts w:ascii="Arial" w:hAnsi="Arial" w:hint="cs"/>
          <w:noProof w:val="0"/>
          <w:rtl/>
        </w:rPr>
        <w:tab/>
      </w:r>
    </w:p>
    <w:p w:rsidR="00230CD6" w:rsidRDefault="00230CD6" w:rsidP="00230CD6">
      <w:pPr>
        <w:pStyle w:val="a9"/>
        <w:numPr>
          <w:ilvl w:val="0"/>
          <w:numId w:val="1"/>
        </w:numPr>
        <w:spacing w:before="120" w:line="400" w:lineRule="atLeast"/>
        <w:contextualSpacing w:val="0"/>
        <w:jc w:val="both"/>
        <w:rPr>
          <w:rFonts w:ascii="Arial" w:hAnsi="Arial"/>
          <w:noProof w:val="0"/>
        </w:rPr>
      </w:pPr>
      <w:r>
        <w:rPr>
          <w:rFonts w:ascii="Arial" w:hAnsi="Arial" w:hint="cs"/>
          <w:noProof w:val="0"/>
          <w:rtl/>
        </w:rPr>
        <w:lastRenderedPageBreak/>
        <w:t xml:space="preserve">בעניין זה יודגש, כי התובע הוא אדם בקיא ומנוסה, אשר ערך את כתב התביעה בטוב טעם וטען באריכות ובאופן יוצא דופן לאדם מן הישוב שאיננו משפטן. </w:t>
      </w:r>
      <w:r>
        <w:rPr>
          <w:rFonts w:ascii="Arial" w:hAnsi="Arial"/>
          <w:noProof w:val="0"/>
          <w:rtl/>
        </w:rPr>
        <w:tab/>
      </w:r>
      <w:r>
        <w:rPr>
          <w:rFonts w:ascii="Arial" w:hAnsi="Arial"/>
          <w:noProof w:val="0"/>
          <w:rtl/>
        </w:rPr>
        <w:br/>
      </w:r>
      <w:r>
        <w:rPr>
          <w:rFonts w:ascii="Arial" w:hAnsi="Arial" w:hint="cs"/>
          <w:noProof w:val="0"/>
          <w:rtl/>
        </w:rPr>
        <w:t xml:space="preserve">הנתבעת איננה יכולה "לנחש" את מחשבותיו, לפיהן אלמלא השייט, התובע לא היה יוצא כלל לחו"ל, ולדעת לעומק את טענת התובע, כי השהות בחו"ל הנבדלת מהשייט, היא כורח המציאות עקב טיסות. </w:t>
      </w:r>
      <w:r>
        <w:rPr>
          <w:rFonts w:ascii="Arial" w:hAnsi="Arial"/>
          <w:noProof w:val="0"/>
          <w:rtl/>
        </w:rPr>
        <w:tab/>
      </w:r>
      <w:r>
        <w:rPr>
          <w:rFonts w:ascii="Arial" w:hAnsi="Arial"/>
          <w:noProof w:val="0"/>
          <w:rtl/>
        </w:rPr>
        <w:br/>
      </w:r>
      <w:r>
        <w:rPr>
          <w:rFonts w:ascii="Arial" w:hAnsi="Arial" w:hint="cs"/>
          <w:noProof w:val="0"/>
          <w:rtl/>
        </w:rPr>
        <w:t xml:space="preserve">מבחינת הנתבעת, אם בכלל ידעה על השייט (דבר שלא הוכח), השייט הוא </w:t>
      </w:r>
      <w:r w:rsidRPr="00092ABC">
        <w:rPr>
          <w:rFonts w:ascii="Arial" w:hAnsi="Arial" w:hint="cs"/>
          <w:b/>
          <w:bCs/>
          <w:noProof w:val="0"/>
          <w:rtl/>
        </w:rPr>
        <w:t>רק חלק</w:t>
      </w:r>
      <w:r>
        <w:rPr>
          <w:rFonts w:ascii="Arial" w:hAnsi="Arial" w:hint="cs"/>
          <w:noProof w:val="0"/>
          <w:rtl/>
        </w:rPr>
        <w:t xml:space="preserve"> מהנסיעה לחו"ל, אשר כללה שהות נפרדת בחו"ל לפני השייט ולאחריו, כפי שניכר מכלל ההזמנות. בנסיבות אלה, טענתו של התובע כי הנתבעת הפרה את "עקרון הגילוי", בכך שלא הסבירה לו כי מצב כפי שארע לא יהיה מכוסה, היא טענה שלא ניתן לקבלה.</w:t>
      </w:r>
      <w:r>
        <w:rPr>
          <w:rFonts w:ascii="Arial" w:hAnsi="Arial"/>
          <w:noProof w:val="0"/>
          <w:rtl/>
        </w:rPr>
        <w:tab/>
      </w:r>
      <w:r>
        <w:rPr>
          <w:rFonts w:ascii="Arial" w:hAnsi="Arial"/>
          <w:noProof w:val="0"/>
          <w:rtl/>
        </w:rPr>
        <w:br/>
      </w:r>
      <w:r>
        <w:rPr>
          <w:rFonts w:ascii="Arial" w:hAnsi="Arial"/>
          <w:noProof w:val="0"/>
          <w:rtl/>
        </w:rPr>
        <w:br/>
      </w:r>
      <w:r>
        <w:rPr>
          <w:rFonts w:ascii="Arial" w:hAnsi="Arial" w:hint="cs"/>
          <w:noProof w:val="0"/>
          <w:rtl/>
        </w:rPr>
        <w:t xml:space="preserve">דווקא לתובע היה "מידע עודף". התובע, שכאמור לעיל ניתן היה להתרשם כי הוא יודע להתנסח היטב ולהתעקש על טענותיו, יכול היה לעמוד על דרישתו בעת החתימה על הסכם הביטוח, לפיו ביטול השייט יביא לפיצוי מלא. הנתבעת לא ידעה זאת ולא </w:t>
      </w:r>
      <w:proofErr w:type="spellStart"/>
      <w:r>
        <w:rPr>
          <w:rFonts w:ascii="Arial" w:hAnsi="Arial" w:hint="cs"/>
          <w:noProof w:val="0"/>
          <w:rtl/>
        </w:rPr>
        <w:t>היתה</w:t>
      </w:r>
      <w:proofErr w:type="spellEnd"/>
      <w:r>
        <w:rPr>
          <w:rFonts w:ascii="Arial" w:hAnsi="Arial" w:hint="cs"/>
          <w:noProof w:val="0"/>
          <w:rtl/>
        </w:rPr>
        <w:t xml:space="preserve"> יכולה לשער שזו כוונת הלקוח.</w:t>
      </w:r>
    </w:p>
    <w:p w:rsidR="00230CD6" w:rsidRDefault="00230CD6" w:rsidP="00230CD6">
      <w:pPr>
        <w:pStyle w:val="a9"/>
        <w:spacing w:before="120" w:line="400" w:lineRule="atLeast"/>
        <w:contextualSpacing w:val="0"/>
        <w:jc w:val="both"/>
        <w:rPr>
          <w:rFonts w:ascii="Arial" w:hAnsi="Arial"/>
          <w:noProof w:val="0"/>
        </w:rPr>
      </w:pPr>
    </w:p>
    <w:p w:rsidR="00230CD6" w:rsidRDefault="00230CD6" w:rsidP="00230CD6">
      <w:pPr>
        <w:pStyle w:val="a9"/>
        <w:numPr>
          <w:ilvl w:val="0"/>
          <w:numId w:val="1"/>
        </w:numPr>
        <w:spacing w:before="120" w:line="400" w:lineRule="atLeast"/>
        <w:contextualSpacing w:val="0"/>
        <w:jc w:val="both"/>
        <w:rPr>
          <w:rFonts w:ascii="Arial" w:hAnsi="Arial"/>
          <w:noProof w:val="0"/>
        </w:rPr>
      </w:pPr>
      <w:r w:rsidRPr="007C2C5E">
        <w:rPr>
          <w:rFonts w:ascii="Arial" w:hAnsi="Arial" w:hint="cs"/>
          <w:b/>
          <w:bCs/>
          <w:noProof w:val="0"/>
          <w:rtl/>
        </w:rPr>
        <w:t>קיצור נסיעה ללא אשפוז</w:t>
      </w:r>
      <w:r w:rsidRPr="007C2C5E">
        <w:rPr>
          <w:rFonts w:ascii="Arial" w:hAnsi="Arial" w:hint="cs"/>
          <w:b/>
          <w:bCs/>
          <w:noProof w:val="0"/>
          <w:rtl/>
        </w:rPr>
        <w:tab/>
      </w:r>
      <w:r w:rsidRPr="007C2C5E">
        <w:rPr>
          <w:rFonts w:ascii="Arial" w:hAnsi="Arial"/>
          <w:b/>
          <w:bCs/>
          <w:noProof w:val="0"/>
          <w:rtl/>
        </w:rPr>
        <w:tab/>
      </w:r>
      <w:r w:rsidRPr="007C2C5E">
        <w:rPr>
          <w:rFonts w:ascii="Arial" w:hAnsi="Arial"/>
          <w:b/>
          <w:bCs/>
          <w:noProof w:val="0"/>
          <w:rtl/>
        </w:rPr>
        <w:br/>
      </w:r>
      <w:r w:rsidRPr="007C2C5E">
        <w:rPr>
          <w:rFonts w:ascii="Arial" w:hAnsi="Arial" w:hint="cs"/>
          <w:noProof w:val="0"/>
          <w:rtl/>
        </w:rPr>
        <w:t xml:space="preserve">התובע טען כי ברור שלא יכול היה לאשפז את עצמו ללא התוויה רפואית, ולכן הדרישה לאשפוז בעת קיצור נסיעה מחמת מצב בריאותי איננה סבירה. </w:t>
      </w:r>
      <w:r w:rsidRPr="007C2C5E">
        <w:rPr>
          <w:rFonts w:ascii="Arial" w:hAnsi="Arial"/>
          <w:noProof w:val="0"/>
          <w:rtl/>
        </w:rPr>
        <w:tab/>
      </w:r>
      <w:r w:rsidRPr="007C2C5E">
        <w:rPr>
          <w:rFonts w:ascii="Arial" w:hAnsi="Arial"/>
          <w:noProof w:val="0"/>
          <w:rtl/>
        </w:rPr>
        <w:br/>
      </w:r>
      <w:r w:rsidRPr="007C2C5E">
        <w:rPr>
          <w:rFonts w:ascii="Arial" w:hAnsi="Arial" w:hint="cs"/>
          <w:noProof w:val="0"/>
          <w:rtl/>
        </w:rPr>
        <w:t>גם בעניין זה נטען, כי הפרק הקונקרטי לגבי קורונה, גובר על פרק ההגדרות הכללי.</w:t>
      </w:r>
      <w:r w:rsidRPr="007C2C5E">
        <w:rPr>
          <w:rFonts w:ascii="Arial" w:hAnsi="Arial" w:hint="cs"/>
          <w:noProof w:val="0"/>
          <w:rtl/>
        </w:rPr>
        <w:tab/>
      </w:r>
      <w:r w:rsidRPr="007C2C5E">
        <w:rPr>
          <w:rFonts w:ascii="Arial" w:hAnsi="Arial"/>
          <w:noProof w:val="0"/>
          <w:rtl/>
        </w:rPr>
        <w:br/>
      </w:r>
      <w:r w:rsidRPr="007C2C5E">
        <w:rPr>
          <w:rFonts w:ascii="Arial" w:hAnsi="Arial" w:hint="cs"/>
          <w:noProof w:val="0"/>
          <w:rtl/>
        </w:rPr>
        <w:t>עם כל ההבנה למצוקתו של התובע, לא ניתן לקבל פרשנות זו.</w:t>
      </w:r>
      <w:r w:rsidRPr="007C2C5E">
        <w:rPr>
          <w:rFonts w:ascii="Arial" w:hAnsi="Arial" w:hint="cs"/>
          <w:noProof w:val="0"/>
          <w:rtl/>
        </w:rPr>
        <w:tab/>
      </w:r>
      <w:r w:rsidRPr="007C2C5E">
        <w:rPr>
          <w:rFonts w:ascii="Arial" w:hAnsi="Arial"/>
          <w:noProof w:val="0"/>
          <w:rtl/>
        </w:rPr>
        <w:br/>
      </w:r>
      <w:r w:rsidRPr="007C2C5E">
        <w:rPr>
          <w:rFonts w:ascii="Arial" w:hAnsi="Arial" w:hint="cs"/>
          <w:noProof w:val="0"/>
          <w:rtl/>
        </w:rPr>
        <w:t xml:space="preserve">הפוליסה קובעת כי בעת קיצור נסיעה מחמת מצב בריאות, נדרש אשפוז. הוראה זו היא הוראה כללית לכל קיצור נסיעה מחמת כל ליקוי בריאותי. </w:t>
      </w:r>
      <w:r>
        <w:rPr>
          <w:rFonts w:ascii="Arial" w:hAnsi="Arial"/>
          <w:noProof w:val="0"/>
          <w:rtl/>
        </w:rPr>
        <w:tab/>
      </w:r>
      <w:r>
        <w:rPr>
          <w:rFonts w:ascii="Arial" w:hAnsi="Arial"/>
          <w:noProof w:val="0"/>
          <w:rtl/>
        </w:rPr>
        <w:br/>
      </w:r>
      <w:r w:rsidRPr="007C2C5E">
        <w:rPr>
          <w:rFonts w:ascii="Arial" w:hAnsi="Arial" w:hint="cs"/>
          <w:noProof w:val="0"/>
          <w:rtl/>
        </w:rPr>
        <w:t xml:space="preserve">על פניו מדובר בדרישה אשר עלולה לפגוע גם במי שחלה בחו"ל בליקוי אחר שלא חייב </w:t>
      </w:r>
      <w:proofErr w:type="spellStart"/>
      <w:r w:rsidRPr="007C2C5E">
        <w:rPr>
          <w:rFonts w:ascii="Arial" w:hAnsi="Arial" w:hint="cs"/>
          <w:noProof w:val="0"/>
          <w:rtl/>
        </w:rPr>
        <w:t>אישפוז</w:t>
      </w:r>
      <w:proofErr w:type="spellEnd"/>
      <w:r>
        <w:rPr>
          <w:rFonts w:ascii="Arial" w:hAnsi="Arial" w:hint="cs"/>
          <w:noProof w:val="0"/>
          <w:rtl/>
        </w:rPr>
        <w:t>, למשל מי שחש כאבי ראש ומבקש לקצר את נסיעתו ללא אשפוז</w:t>
      </w:r>
      <w:r w:rsidRPr="007C2C5E">
        <w:rPr>
          <w:rFonts w:ascii="Arial" w:hAnsi="Arial" w:hint="cs"/>
          <w:noProof w:val="0"/>
          <w:rtl/>
        </w:rPr>
        <w:t xml:space="preserve">. </w:t>
      </w:r>
      <w:r>
        <w:rPr>
          <w:rFonts w:ascii="Arial" w:hAnsi="Arial" w:hint="cs"/>
          <w:noProof w:val="0"/>
          <w:rtl/>
        </w:rPr>
        <w:t xml:space="preserve">ייתכן שהיה על המבטחת לצמצם את הדרישה לתעודה רפואית בדבר המצב המונע המשך השהות בחו"ל, ולא לדרוש אשפוז, אולם </w:t>
      </w:r>
      <w:r w:rsidRPr="007C2C5E">
        <w:rPr>
          <w:rFonts w:ascii="Arial" w:hAnsi="Arial" w:hint="cs"/>
          <w:noProof w:val="0"/>
          <w:rtl/>
        </w:rPr>
        <w:t xml:space="preserve">ללא דרישה כזו או אחרת להתוויה רפואית מוסמכת, יקשה על מבטחות להימנע מפיצוי אם מאן דהוא יקצר נסיעתו מעילה אחרת, ויטען כי מדובר בחולי שעל פניו הוא חולי של מה בכך. </w:t>
      </w:r>
      <w:r w:rsidRPr="007C2C5E">
        <w:rPr>
          <w:rFonts w:ascii="Arial" w:hAnsi="Arial"/>
          <w:noProof w:val="0"/>
          <w:rtl/>
        </w:rPr>
        <w:tab/>
      </w:r>
      <w:r w:rsidRPr="007C2C5E">
        <w:rPr>
          <w:rFonts w:ascii="Arial" w:hAnsi="Arial"/>
          <w:noProof w:val="0"/>
          <w:rtl/>
        </w:rPr>
        <w:br/>
      </w:r>
      <w:r w:rsidRPr="007C2C5E">
        <w:rPr>
          <w:rFonts w:ascii="Arial" w:hAnsi="Arial" w:hint="cs"/>
          <w:noProof w:val="0"/>
          <w:rtl/>
        </w:rPr>
        <w:t xml:space="preserve">הפרק על הקורונה הוא אכן פרק </w:t>
      </w:r>
      <w:proofErr w:type="spellStart"/>
      <w:r w:rsidRPr="007C2C5E">
        <w:rPr>
          <w:rFonts w:ascii="Arial" w:hAnsi="Arial" w:hint="cs"/>
          <w:noProof w:val="0"/>
          <w:rtl/>
        </w:rPr>
        <w:t>ספיציפי</w:t>
      </w:r>
      <w:proofErr w:type="spellEnd"/>
      <w:r w:rsidRPr="007C2C5E">
        <w:rPr>
          <w:rFonts w:ascii="Arial" w:hAnsi="Arial" w:hint="cs"/>
          <w:noProof w:val="0"/>
          <w:rtl/>
        </w:rPr>
        <w:t xml:space="preserve"> הגובר על הפרק הכללי, אולם אין בו כל הוראה הסותרת את ההגדרה הכללית, וכמתואר לעיל, הוראה </w:t>
      </w:r>
      <w:r>
        <w:rPr>
          <w:rFonts w:ascii="Arial" w:hAnsi="Arial" w:hint="cs"/>
          <w:noProof w:val="0"/>
          <w:rtl/>
        </w:rPr>
        <w:t xml:space="preserve">כללית </w:t>
      </w:r>
      <w:r w:rsidRPr="007C2C5E">
        <w:rPr>
          <w:rFonts w:ascii="Arial" w:hAnsi="Arial" w:hint="cs"/>
          <w:noProof w:val="0"/>
          <w:rtl/>
        </w:rPr>
        <w:t xml:space="preserve">זו עשויה לפגוע גם במי שחלה שלא בקורונה ולא אושפז. </w:t>
      </w:r>
      <w:r>
        <w:rPr>
          <w:rFonts w:ascii="Arial" w:hAnsi="Arial"/>
          <w:noProof w:val="0"/>
          <w:rtl/>
        </w:rPr>
        <w:tab/>
      </w:r>
      <w:r>
        <w:rPr>
          <w:rFonts w:ascii="Arial" w:hAnsi="Arial"/>
          <w:noProof w:val="0"/>
          <w:rtl/>
        </w:rPr>
        <w:br/>
      </w:r>
      <w:r>
        <w:rPr>
          <w:rFonts w:ascii="Arial" w:hAnsi="Arial" w:hint="cs"/>
          <w:noProof w:val="0"/>
          <w:rtl/>
        </w:rPr>
        <w:lastRenderedPageBreak/>
        <w:t>הפרק בגין סיכוני קורונה כולל שורה של אירועים בגינם יינתן פיצוי, ו</w:t>
      </w:r>
      <w:r w:rsidRPr="007C2C5E">
        <w:rPr>
          <w:rFonts w:ascii="Arial" w:hAnsi="Arial" w:hint="cs"/>
          <w:noProof w:val="0"/>
          <w:rtl/>
        </w:rPr>
        <w:t>נראה כי הצדדים לא תיארו לעצמם מקרה כגון זה שארע, שבמסגרתו מחלת הקורונה תתגלה בעת השהות בחו"ל ות</w:t>
      </w:r>
      <w:r>
        <w:rPr>
          <w:rFonts w:ascii="Arial" w:hAnsi="Arial" w:hint="cs"/>
          <w:noProof w:val="0"/>
          <w:rtl/>
        </w:rPr>
        <w:t>מנע ביצוע חלק מרכזי בטיול.</w:t>
      </w:r>
      <w:r>
        <w:rPr>
          <w:rFonts w:ascii="Arial" w:hAnsi="Arial"/>
          <w:noProof w:val="0"/>
          <w:rtl/>
        </w:rPr>
        <w:tab/>
      </w:r>
      <w:r>
        <w:rPr>
          <w:rFonts w:ascii="Arial" w:hAnsi="Arial"/>
          <w:noProof w:val="0"/>
          <w:rtl/>
        </w:rPr>
        <w:br/>
      </w:r>
      <w:r>
        <w:rPr>
          <w:rFonts w:ascii="Arial" w:hAnsi="Arial" w:hint="cs"/>
          <w:noProof w:val="0"/>
          <w:rtl/>
        </w:rPr>
        <w:t xml:space="preserve">במסגרת הסיכונים שהצדדים הביאו בחשבון בעת החתימה על ההסכם, הוא לא שקללו סיכון נוסף של חולי ללא אשפוז אשר יצדיק קיצור נסיעה, כאשר סביר שבמקרה של תוספת כזו, </w:t>
      </w:r>
      <w:proofErr w:type="spellStart"/>
      <w:r>
        <w:rPr>
          <w:rFonts w:ascii="Arial" w:hAnsi="Arial" w:hint="cs"/>
          <w:noProof w:val="0"/>
          <w:rtl/>
        </w:rPr>
        <w:t>היתה</w:t>
      </w:r>
      <w:proofErr w:type="spellEnd"/>
      <w:r>
        <w:rPr>
          <w:rFonts w:ascii="Arial" w:hAnsi="Arial" w:hint="cs"/>
          <w:noProof w:val="0"/>
          <w:rtl/>
        </w:rPr>
        <w:t xml:space="preserve"> הנתבעת דורשת פרמיה גבוהה יותר.</w:t>
      </w:r>
      <w:r>
        <w:rPr>
          <w:rFonts w:ascii="Arial" w:hAnsi="Arial"/>
          <w:noProof w:val="0"/>
          <w:rtl/>
        </w:rPr>
        <w:tab/>
      </w:r>
      <w:r>
        <w:rPr>
          <w:rFonts w:ascii="Arial" w:hAnsi="Arial"/>
          <w:noProof w:val="0"/>
          <w:rtl/>
        </w:rPr>
        <w:br/>
      </w:r>
      <w:r>
        <w:rPr>
          <w:rFonts w:ascii="Arial" w:hAnsi="Arial" w:hint="cs"/>
          <w:noProof w:val="0"/>
          <w:rtl/>
        </w:rPr>
        <w:t>בנסיבות אלה, למרות ההבנה והרצון לסייע לתובע, מבחינה משפטית לא מצאתי מקום לקבוע שבענייננו נתקיים החריג של קיצור נסיעה המאפשר פיצוי.</w:t>
      </w:r>
    </w:p>
    <w:p w:rsidR="00230CD6" w:rsidRPr="007C2C5E" w:rsidRDefault="00230CD6" w:rsidP="00230CD6">
      <w:pPr>
        <w:spacing w:before="120" w:line="400" w:lineRule="atLeast"/>
        <w:jc w:val="both"/>
        <w:rPr>
          <w:rFonts w:ascii="Arial" w:hAnsi="Arial"/>
          <w:noProof w:val="0"/>
        </w:rPr>
      </w:pPr>
    </w:p>
    <w:p w:rsidR="00230CD6" w:rsidRDefault="00230CD6" w:rsidP="00230CD6">
      <w:pPr>
        <w:pStyle w:val="a9"/>
        <w:numPr>
          <w:ilvl w:val="0"/>
          <w:numId w:val="1"/>
        </w:numPr>
        <w:spacing w:before="120" w:line="400" w:lineRule="atLeast"/>
        <w:contextualSpacing w:val="0"/>
        <w:jc w:val="both"/>
        <w:rPr>
          <w:rFonts w:ascii="Arial" w:hAnsi="Arial"/>
          <w:noProof w:val="0"/>
        </w:rPr>
      </w:pPr>
      <w:r w:rsidRPr="00B41C4C">
        <w:rPr>
          <w:rFonts w:ascii="Arial" w:hAnsi="Arial" w:hint="cs"/>
          <w:b/>
          <w:bCs/>
          <w:noProof w:val="0"/>
          <w:rtl/>
        </w:rPr>
        <w:t>פרשנות ההסכם</w:t>
      </w:r>
      <w:r>
        <w:rPr>
          <w:rFonts w:ascii="Arial" w:hAnsi="Arial" w:hint="cs"/>
          <w:noProof w:val="0"/>
          <w:rtl/>
        </w:rPr>
        <w:t xml:space="preserve"> - </w:t>
      </w:r>
      <w:r>
        <w:rPr>
          <w:rFonts w:ascii="Arial" w:hAnsi="Arial" w:hint="cs"/>
          <w:noProof w:val="0"/>
          <w:rtl/>
        </w:rPr>
        <w:tab/>
      </w:r>
      <w:r>
        <w:rPr>
          <w:rFonts w:ascii="Arial" w:hAnsi="Arial"/>
          <w:noProof w:val="0"/>
          <w:rtl/>
        </w:rPr>
        <w:br/>
      </w:r>
      <w:r>
        <w:rPr>
          <w:rFonts w:ascii="Arial" w:hAnsi="Arial" w:hint="cs"/>
          <w:noProof w:val="0"/>
          <w:rtl/>
        </w:rPr>
        <w:t xml:space="preserve">סעיף 25 (א) לחוק החוזים (חלק כללי) תשל"ג 1973 קובע כי </w:t>
      </w:r>
      <w:r w:rsidRPr="00214D22">
        <w:rPr>
          <w:rFonts w:ascii="Arial" w:hAnsi="Arial"/>
          <w:noProof w:val="0"/>
          <w:rtl/>
        </w:rPr>
        <w:t>חוזה יפורש לפי אומד דעתם של הצדדים, כפי שהוא משתמע מתוך החוזה ומנסיבות העניין, ואולם אם אומד דעתם של הצדדים משתמע במפורש מלשון החוזה, יפורש החוזה בהתאם ללשונו</w:t>
      </w:r>
      <w:r>
        <w:rPr>
          <w:rFonts w:ascii="Arial" w:hAnsi="Arial" w:hint="cs"/>
          <w:noProof w:val="0"/>
          <w:rtl/>
        </w:rPr>
        <w:t>.</w:t>
      </w:r>
      <w:r>
        <w:rPr>
          <w:rFonts w:ascii="Arial" w:hAnsi="Arial"/>
          <w:noProof w:val="0"/>
          <w:rtl/>
        </w:rPr>
        <w:tab/>
      </w:r>
      <w:r>
        <w:rPr>
          <w:rFonts w:ascii="Arial" w:hAnsi="Arial"/>
          <w:noProof w:val="0"/>
          <w:rtl/>
        </w:rPr>
        <w:br/>
      </w:r>
      <w:r>
        <w:rPr>
          <w:rFonts w:ascii="Arial" w:hAnsi="Arial" w:hint="cs"/>
          <w:noProof w:val="0"/>
          <w:rtl/>
        </w:rPr>
        <w:t>מכאן שיש לפנות לאומד דעת הצדדים, רק כאשר לשון החוזה איננה ברורה.</w:t>
      </w:r>
      <w:r>
        <w:rPr>
          <w:rFonts w:ascii="Arial" w:hAnsi="Arial" w:hint="cs"/>
          <w:noProof w:val="0"/>
          <w:rtl/>
        </w:rPr>
        <w:tab/>
      </w:r>
      <w:r>
        <w:rPr>
          <w:rFonts w:ascii="Arial" w:hAnsi="Arial"/>
          <w:noProof w:val="0"/>
          <w:rtl/>
        </w:rPr>
        <w:br/>
      </w:r>
      <w:r>
        <w:rPr>
          <w:rFonts w:ascii="Arial" w:hAnsi="Arial" w:hint="cs"/>
          <w:noProof w:val="0"/>
          <w:rtl/>
        </w:rPr>
        <w:t xml:space="preserve">נפסק כי </w:t>
      </w:r>
      <w:r w:rsidRPr="003041FB">
        <w:rPr>
          <w:rFonts w:ascii="Arial" w:hAnsi="Arial"/>
          <w:noProof w:val="0"/>
          <w:rtl/>
        </w:rPr>
        <w:t>על בי</w:t>
      </w:r>
      <w:r>
        <w:rPr>
          <w:rFonts w:ascii="Arial" w:hAnsi="Arial" w:hint="cs"/>
          <w:noProof w:val="0"/>
          <w:rtl/>
        </w:rPr>
        <w:t>ת המשפט</w:t>
      </w:r>
      <w:r w:rsidRPr="003041FB">
        <w:rPr>
          <w:rFonts w:ascii="Arial" w:hAnsi="Arial"/>
          <w:noProof w:val="0"/>
          <w:rtl/>
        </w:rPr>
        <w:t xml:space="preserve"> לפרש את החוזה לפי תכליתו האובייקטיבית, דהיינו באופן שמשלב את לשון החוזה והמטרה שמשתמעת ממנה עם חובות הגינות ותום-לב. לנוכח הכלל שקובע כי לשון החוזה היא </w:t>
      </w:r>
      <w:r>
        <w:rPr>
          <w:rFonts w:ascii="Arial" w:hAnsi="Arial" w:hint="cs"/>
          <w:noProof w:val="0"/>
          <w:rtl/>
        </w:rPr>
        <w:t>"</w:t>
      </w:r>
      <w:r w:rsidRPr="003041FB">
        <w:rPr>
          <w:rFonts w:ascii="Arial" w:hAnsi="Arial"/>
          <w:noProof w:val="0"/>
          <w:rtl/>
        </w:rPr>
        <w:t>כלי הקיבול</w:t>
      </w:r>
      <w:r>
        <w:rPr>
          <w:rFonts w:ascii="Arial" w:hAnsi="Arial" w:hint="cs"/>
          <w:noProof w:val="0"/>
          <w:rtl/>
        </w:rPr>
        <w:t>"</w:t>
      </w:r>
      <w:r w:rsidRPr="003041FB">
        <w:rPr>
          <w:rFonts w:ascii="Arial" w:hAnsi="Arial"/>
          <w:noProof w:val="0"/>
          <w:rtl/>
        </w:rPr>
        <w:t xml:space="preserve"> של אומד דעת הצדדים, ובהתחשב בחזקה הפרשנית לפיה לשון ברורה משקפת את מה שהצדדים לחוז</w:t>
      </w:r>
      <w:r>
        <w:rPr>
          <w:rFonts w:ascii="Arial" w:hAnsi="Arial"/>
          <w:noProof w:val="0"/>
          <w:rtl/>
        </w:rPr>
        <w:t>ה התכוונו לקבוע בינם לבין עצמם</w:t>
      </w:r>
      <w:r>
        <w:rPr>
          <w:rFonts w:ascii="Arial" w:hAnsi="Arial" w:hint="cs"/>
          <w:noProof w:val="0"/>
          <w:rtl/>
        </w:rPr>
        <w:t xml:space="preserve"> - </w:t>
      </w:r>
      <w:r w:rsidRPr="003041FB">
        <w:rPr>
          <w:rFonts w:ascii="Arial" w:hAnsi="Arial"/>
          <w:noProof w:val="0"/>
          <w:rtl/>
        </w:rPr>
        <w:t>שופט אשר בא להכריע במחלוקת לגבי משמעותם של תנאיו של חוזה</w:t>
      </w:r>
      <w:r>
        <w:rPr>
          <w:rFonts w:ascii="Arial" w:hAnsi="Arial" w:hint="cs"/>
          <w:noProof w:val="0"/>
          <w:rtl/>
        </w:rPr>
        <w:t xml:space="preserve">, </w:t>
      </w:r>
      <w:r w:rsidRPr="003041FB">
        <w:rPr>
          <w:rFonts w:ascii="Arial" w:hAnsi="Arial"/>
          <w:noProof w:val="0"/>
          <w:rtl/>
        </w:rPr>
        <w:t>לא יעסוק אלא בקביעתן של עובדות החוזה, דהיינו פרשנות סובייקטיבית. מכאן שפרשנות חוזה פורמאלי סגור</w:t>
      </w:r>
      <w:r>
        <w:rPr>
          <w:rFonts w:ascii="Arial" w:hAnsi="Arial" w:hint="cs"/>
          <w:noProof w:val="0"/>
          <w:rtl/>
        </w:rPr>
        <w:t>,</w:t>
      </w:r>
      <w:r w:rsidRPr="003041FB">
        <w:rPr>
          <w:rFonts w:ascii="Arial" w:hAnsi="Arial"/>
          <w:noProof w:val="0"/>
          <w:rtl/>
        </w:rPr>
        <w:t xml:space="preserve"> תהא חסינה מפני הכנסת ש</w:t>
      </w:r>
      <w:r>
        <w:rPr>
          <w:rFonts w:ascii="Arial" w:hAnsi="Arial"/>
          <w:noProof w:val="0"/>
          <w:rtl/>
        </w:rPr>
        <w:t>יקולים ערכיים, החיצוניים לחוזה</w:t>
      </w:r>
      <w:r>
        <w:rPr>
          <w:rFonts w:ascii="Arial" w:hAnsi="Arial" w:hint="cs"/>
          <w:noProof w:val="0"/>
          <w:rtl/>
        </w:rPr>
        <w:t xml:space="preserve">. ראוי </w:t>
      </w:r>
      <w:r w:rsidRPr="00587A95">
        <w:rPr>
          <w:rFonts w:ascii="Arial" w:hAnsi="Arial"/>
          <w:noProof w:val="0"/>
          <w:rtl/>
        </w:rPr>
        <w:t xml:space="preserve">להישמר ככל הניתן מלקרוא לתוך החוזה </w:t>
      </w:r>
      <w:proofErr w:type="spellStart"/>
      <w:r w:rsidRPr="00587A95">
        <w:rPr>
          <w:rFonts w:ascii="Arial" w:hAnsi="Arial"/>
          <w:noProof w:val="0"/>
          <w:rtl/>
        </w:rPr>
        <w:t>תניות</w:t>
      </w:r>
      <w:proofErr w:type="spellEnd"/>
      <w:r w:rsidRPr="00587A95">
        <w:rPr>
          <w:rFonts w:ascii="Arial" w:hAnsi="Arial"/>
          <w:noProof w:val="0"/>
          <w:rtl/>
        </w:rPr>
        <w:t xml:space="preserve"> חדשות, שמא ימצא עצמו בית המשפט כותב עבור הצדדים חוזה </w:t>
      </w:r>
      <w:r>
        <w:rPr>
          <w:rFonts w:ascii="Arial" w:hAnsi="Arial"/>
          <w:noProof w:val="0"/>
          <w:rtl/>
        </w:rPr>
        <w:t>שהם מעולם לא התכוונו להתקשר בו.</w:t>
      </w:r>
      <w:r w:rsidRPr="00B41C4C">
        <w:rPr>
          <w:rFonts w:ascii="Arial" w:hAnsi="Arial"/>
          <w:noProof w:val="0"/>
          <w:rtl/>
        </w:rPr>
        <w:t xml:space="preserve"> </w:t>
      </w:r>
      <w:r w:rsidRPr="00587A95">
        <w:rPr>
          <w:rFonts w:ascii="Arial" w:hAnsi="Arial"/>
          <w:noProof w:val="0"/>
          <w:rtl/>
        </w:rPr>
        <w:t>הלשון תוחמת את גבולות הפרשנות של הטקסט החוזי וחזקה היא כי פרשנות החוזה תואמת את המשמעות הפשוטה והטבעית של הכתוב בו בראי של הקשרו הכללי</w:t>
      </w:r>
      <w:r>
        <w:rPr>
          <w:rFonts w:ascii="Arial" w:hAnsi="Arial" w:hint="cs"/>
          <w:noProof w:val="0"/>
          <w:rtl/>
        </w:rPr>
        <w:t xml:space="preserve"> (</w:t>
      </w:r>
      <w:r w:rsidRPr="003041FB">
        <w:rPr>
          <w:rFonts w:ascii="Arial" w:hAnsi="Arial"/>
          <w:noProof w:val="0"/>
          <w:rtl/>
        </w:rPr>
        <w:t xml:space="preserve">ע"א 7649/18 </w:t>
      </w:r>
      <w:r w:rsidRPr="00B41C4C">
        <w:rPr>
          <w:rFonts w:ascii="Arial" w:hAnsi="Arial"/>
          <w:b/>
          <w:bCs/>
          <w:noProof w:val="0"/>
          <w:rtl/>
        </w:rPr>
        <w:t>ביבי כבישים עפר ופיתוח בע"מ נ' רכבת ישראל בע"מ</w:t>
      </w:r>
      <w:r w:rsidRPr="003041FB">
        <w:rPr>
          <w:rFonts w:ascii="Arial" w:hAnsi="Arial"/>
          <w:noProof w:val="0"/>
          <w:rtl/>
        </w:rPr>
        <w:t xml:space="preserve"> (20.11.2019)‏‏</w:t>
      </w:r>
      <w:r>
        <w:rPr>
          <w:rFonts w:ascii="Arial" w:hAnsi="Arial" w:hint="cs"/>
          <w:noProof w:val="0"/>
          <w:rtl/>
        </w:rPr>
        <w:t xml:space="preserve"> ; </w:t>
      </w:r>
      <w:r w:rsidRPr="00587A95">
        <w:rPr>
          <w:rFonts w:ascii="Arial" w:hAnsi="Arial"/>
          <w:noProof w:val="0"/>
          <w:rtl/>
        </w:rPr>
        <w:t xml:space="preserve">דנ"א 8100/19 </w:t>
      </w:r>
      <w:r w:rsidRPr="00B41C4C">
        <w:rPr>
          <w:rFonts w:ascii="Arial" w:hAnsi="Arial"/>
          <w:b/>
          <w:bCs/>
          <w:noProof w:val="0"/>
          <w:rtl/>
        </w:rPr>
        <w:t>ביבי כבישים עפר ופיתוח בע"מ נ' רכבת ישראל בע"מ</w:t>
      </w:r>
      <w:r w:rsidRPr="00587A95">
        <w:rPr>
          <w:rFonts w:ascii="Arial" w:hAnsi="Arial"/>
          <w:noProof w:val="0"/>
          <w:rtl/>
        </w:rPr>
        <w:t xml:space="preserve"> (19.04.2020)</w:t>
      </w:r>
      <w:r>
        <w:rPr>
          <w:rFonts w:ascii="Arial" w:hAnsi="Arial" w:hint="cs"/>
          <w:noProof w:val="0"/>
          <w:rtl/>
        </w:rPr>
        <w:t>).</w:t>
      </w:r>
      <w:r w:rsidRPr="00587A95">
        <w:rPr>
          <w:rFonts w:ascii="Arial" w:hAnsi="Arial"/>
          <w:noProof w:val="0"/>
          <w:rtl/>
        </w:rPr>
        <w:t>‏‏</w:t>
      </w:r>
      <w:r>
        <w:rPr>
          <w:rFonts w:ascii="Arial" w:hAnsi="Arial"/>
          <w:noProof w:val="0"/>
          <w:rtl/>
        </w:rPr>
        <w:tab/>
      </w:r>
      <w:r>
        <w:rPr>
          <w:rFonts w:ascii="Arial" w:hAnsi="Arial"/>
          <w:noProof w:val="0"/>
          <w:rtl/>
        </w:rPr>
        <w:br/>
      </w:r>
      <w:r>
        <w:rPr>
          <w:rFonts w:ascii="Arial" w:hAnsi="Arial" w:hint="cs"/>
          <w:noProof w:val="0"/>
          <w:rtl/>
        </w:rPr>
        <w:t>בנסיבות אלה, כאשר ההסכם בין הצדדים מפורט והוא כולל נסיבות בהן יינתן פיצוי, והאירוע שארע איננו אחת מנסיבות אלה, אין לי אלא לקבל את הגנת הנתבעת, חרף מורת הרוח מכך שלא פיצתה את התובע לפנים משורת הדין כפי שנהגה הנתבעת 2.</w:t>
      </w:r>
    </w:p>
    <w:p w:rsidR="00230CD6" w:rsidRPr="00E378A2" w:rsidRDefault="00230CD6" w:rsidP="00230CD6">
      <w:pPr>
        <w:pStyle w:val="a9"/>
        <w:numPr>
          <w:ilvl w:val="0"/>
          <w:numId w:val="1"/>
        </w:numPr>
        <w:spacing w:before="120" w:line="400" w:lineRule="atLeast"/>
        <w:contextualSpacing w:val="0"/>
        <w:jc w:val="both"/>
        <w:rPr>
          <w:rFonts w:ascii="Arial" w:hAnsi="Arial"/>
          <w:noProof w:val="0"/>
        </w:rPr>
      </w:pPr>
      <w:r w:rsidRPr="00E378A2">
        <w:rPr>
          <w:rFonts w:ascii="Arial" w:hAnsi="Arial" w:hint="cs"/>
          <w:noProof w:val="0"/>
          <w:rtl/>
        </w:rPr>
        <w:lastRenderedPageBreak/>
        <w:t xml:space="preserve">למעלה מן הצורך </w:t>
      </w:r>
      <w:proofErr w:type="spellStart"/>
      <w:r w:rsidRPr="00E378A2">
        <w:rPr>
          <w:rFonts w:ascii="Arial" w:hAnsi="Arial" w:hint="cs"/>
          <w:noProof w:val="0"/>
          <w:rtl/>
        </w:rPr>
        <w:t>יצויין</w:t>
      </w:r>
      <w:proofErr w:type="spellEnd"/>
      <w:r>
        <w:rPr>
          <w:rFonts w:ascii="Arial" w:hAnsi="Arial" w:hint="cs"/>
          <w:noProof w:val="0"/>
          <w:rtl/>
        </w:rPr>
        <w:t xml:space="preserve"> כי אם הייתי קובע שחלה חובת פיצוי, הרי שהפיצוי לו זכאי היה התובע היה בדומה לפיצוי שפיצתה הנתבעת 2 את התובעת 2, מהסיבות המפורטות בכתב הגנתה של הנתבעת 2.</w:t>
      </w:r>
    </w:p>
    <w:p w:rsidR="00230CD6" w:rsidRDefault="00230CD6" w:rsidP="00230CD6">
      <w:pPr>
        <w:pStyle w:val="a9"/>
        <w:spacing w:before="120" w:line="400" w:lineRule="atLeast"/>
        <w:contextualSpacing w:val="0"/>
        <w:jc w:val="both"/>
        <w:rPr>
          <w:rFonts w:ascii="Arial" w:hAnsi="Arial"/>
          <w:noProof w:val="0"/>
        </w:rPr>
      </w:pPr>
    </w:p>
    <w:p w:rsidR="00230CD6" w:rsidRPr="00B57D2E" w:rsidRDefault="00230CD6" w:rsidP="00230CD6">
      <w:pPr>
        <w:pStyle w:val="a9"/>
        <w:numPr>
          <w:ilvl w:val="0"/>
          <w:numId w:val="1"/>
        </w:numPr>
        <w:spacing w:before="120" w:line="400" w:lineRule="atLeast"/>
        <w:contextualSpacing w:val="0"/>
        <w:jc w:val="both"/>
        <w:rPr>
          <w:rFonts w:ascii="Arial" w:hAnsi="Arial"/>
          <w:noProof w:val="0"/>
          <w:rtl/>
        </w:rPr>
      </w:pPr>
      <w:r>
        <w:rPr>
          <w:rFonts w:ascii="Arial" w:hAnsi="Arial" w:hint="cs"/>
          <w:b/>
          <w:bCs/>
          <w:noProof w:val="0"/>
          <w:rtl/>
        </w:rPr>
        <w:t>סיכומו של דבר</w:t>
      </w:r>
      <w:r>
        <w:rPr>
          <w:rFonts w:ascii="Arial" w:hAnsi="Arial" w:hint="cs"/>
          <w:b/>
          <w:bCs/>
          <w:noProof w:val="0"/>
          <w:rtl/>
        </w:rPr>
        <w:tab/>
      </w:r>
      <w:r>
        <w:rPr>
          <w:rFonts w:ascii="Arial" w:hAnsi="Arial"/>
          <w:b/>
          <w:bCs/>
          <w:noProof w:val="0"/>
          <w:rtl/>
        </w:rPr>
        <w:br/>
      </w:r>
      <w:r>
        <w:rPr>
          <w:rFonts w:ascii="Arial" w:hAnsi="Arial" w:hint="cs"/>
          <w:noProof w:val="0"/>
          <w:rtl/>
        </w:rPr>
        <w:t xml:space="preserve">אכן, טענותיו של התובע שובות את הלב. התובע יצא לחו"ל. הוא ביטח את עצמו לרבות סיכוני קורונה. הוא נפגע </w:t>
      </w:r>
      <w:proofErr w:type="spellStart"/>
      <w:r>
        <w:rPr>
          <w:rFonts w:ascii="Arial" w:hAnsi="Arial" w:hint="cs"/>
          <w:noProof w:val="0"/>
          <w:rtl/>
        </w:rPr>
        <w:t>ממגיפת</w:t>
      </w:r>
      <w:proofErr w:type="spellEnd"/>
      <w:r>
        <w:rPr>
          <w:rFonts w:ascii="Arial" w:hAnsi="Arial" w:hint="cs"/>
          <w:noProof w:val="0"/>
          <w:rtl/>
        </w:rPr>
        <w:t xml:space="preserve"> הקורונה</w:t>
      </w:r>
      <w:r>
        <w:rPr>
          <w:rFonts w:ascii="Arial" w:hAnsi="Arial" w:hint="cs"/>
          <w:noProof w:val="0"/>
          <w:rtl/>
        </w:rPr>
        <w:tab/>
      </w:r>
      <w:r>
        <w:rPr>
          <w:rFonts w:ascii="Arial" w:hAnsi="Arial" w:hint="cs"/>
          <w:b/>
          <w:bCs/>
          <w:noProof w:val="0"/>
          <w:rtl/>
        </w:rPr>
        <w:t xml:space="preserve">, </w:t>
      </w:r>
      <w:r>
        <w:rPr>
          <w:rFonts w:ascii="Arial" w:hAnsi="Arial" w:hint="cs"/>
          <w:noProof w:val="0"/>
          <w:rtl/>
        </w:rPr>
        <w:t>והנתבעת, שהיא חברת ביטוח גדולה ומבוססת, אטמה את ליבה מול מצוקתו. עם זאת, מבחינה לשונית הדין עם הנתבעת ואין מנוס מדחיית התביעה.</w:t>
      </w:r>
    </w:p>
    <w:p w:rsidR="00230CD6" w:rsidRPr="00B57D2E" w:rsidRDefault="00230CD6" w:rsidP="00230CD6">
      <w:pPr>
        <w:pStyle w:val="a9"/>
        <w:numPr>
          <w:ilvl w:val="0"/>
          <w:numId w:val="1"/>
        </w:numPr>
        <w:spacing w:before="120" w:line="400" w:lineRule="atLeast"/>
        <w:contextualSpacing w:val="0"/>
        <w:jc w:val="both"/>
        <w:rPr>
          <w:rFonts w:ascii="Arial" w:hAnsi="Arial"/>
          <w:noProof w:val="0"/>
        </w:rPr>
      </w:pPr>
      <w:r>
        <w:rPr>
          <w:rFonts w:ascii="Arial" w:hAnsi="Arial" w:hint="cs"/>
          <w:noProof w:val="0"/>
          <w:rtl/>
        </w:rPr>
        <w:t>בנסיבות העניין תהיה הדחייה ללא צו להוצאות.</w:t>
      </w:r>
    </w:p>
    <w:p w:rsidR="00230CD6" w:rsidRPr="00B57D2E" w:rsidRDefault="00230CD6" w:rsidP="00230CD6">
      <w:pPr>
        <w:pStyle w:val="a9"/>
        <w:rPr>
          <w:rFonts w:ascii="Arial" w:hAnsi="Arial"/>
          <w:b/>
          <w:bCs/>
          <w:noProof w:val="0"/>
          <w:rtl/>
        </w:rPr>
      </w:pPr>
    </w:p>
    <w:p w:rsidR="00230CD6" w:rsidRPr="0014428E" w:rsidRDefault="00230CD6" w:rsidP="00230CD6">
      <w:pPr>
        <w:pStyle w:val="a9"/>
        <w:spacing w:before="120" w:line="400" w:lineRule="atLeast"/>
        <w:contextualSpacing w:val="0"/>
        <w:jc w:val="both"/>
        <w:rPr>
          <w:rFonts w:ascii="Arial" w:hAnsi="Arial"/>
          <w:b/>
          <w:bCs/>
          <w:noProof w:val="0"/>
          <w:rtl/>
        </w:rPr>
      </w:pPr>
      <w:r w:rsidRPr="0014428E">
        <w:rPr>
          <w:rFonts w:ascii="Arial" w:hAnsi="Arial" w:hint="cs"/>
          <w:b/>
          <w:bCs/>
          <w:noProof w:val="0"/>
          <w:rtl/>
        </w:rPr>
        <w:t>המזכירות תשגר את פסק הדין לצדדים.</w:t>
      </w:r>
    </w:p>
    <w:p w:rsidR="00230CD6" w:rsidRPr="0014428E" w:rsidRDefault="00230CD6" w:rsidP="00230CD6">
      <w:pPr>
        <w:pStyle w:val="a9"/>
        <w:spacing w:before="120" w:line="400" w:lineRule="atLeast"/>
        <w:contextualSpacing w:val="0"/>
        <w:jc w:val="both"/>
        <w:rPr>
          <w:rFonts w:ascii="Arial" w:hAnsi="Arial"/>
          <w:b/>
          <w:bCs/>
          <w:noProof w:val="0"/>
          <w:rtl/>
        </w:rPr>
      </w:pPr>
      <w:r w:rsidRPr="0014428E">
        <w:rPr>
          <w:rFonts w:ascii="Arial" w:hAnsi="Arial" w:hint="cs"/>
          <w:b/>
          <w:bCs/>
          <w:noProof w:val="0"/>
          <w:rtl/>
        </w:rPr>
        <w:t>בקשת רשות ערעור ניתן להגיש בתוך 15 יום לבית המשפט המחוזי.</w:t>
      </w:r>
    </w:p>
    <w:p w:rsidR="00230CD6" w:rsidRDefault="00230CD6" w:rsidP="00230CD6">
      <w:pPr>
        <w:pStyle w:val="a9"/>
        <w:spacing w:before="120" w:line="400" w:lineRule="atLeast"/>
        <w:contextualSpacing w:val="0"/>
        <w:jc w:val="both"/>
        <w:rPr>
          <w:rFonts w:ascii="Arial" w:hAnsi="Arial"/>
          <w:noProof w:val="0"/>
        </w:rPr>
      </w:pPr>
    </w:p>
    <w:p w:rsidR="00230CD6" w:rsidRPr="00394FC9" w:rsidRDefault="00230CD6" w:rsidP="00230CD6">
      <w:pPr>
        <w:spacing w:line="360" w:lineRule="auto"/>
        <w:jc w:val="both"/>
        <w:rPr>
          <w:rFonts w:ascii="Arial" w:hAnsi="Arial"/>
          <w:noProof w:val="0"/>
          <w:rtl/>
        </w:rPr>
      </w:pPr>
    </w:p>
    <w:p w:rsidR="00230CD6" w:rsidRDefault="00230CD6" w:rsidP="00230CD6">
      <w:pPr>
        <w:spacing w:line="360" w:lineRule="auto"/>
        <w:jc w:val="both"/>
        <w:rPr>
          <w:rFonts w:ascii="Arial" w:hAnsi="Arial"/>
          <w:noProof w:val="0"/>
          <w:rtl/>
        </w:rPr>
      </w:pPr>
    </w:p>
    <w:p w:rsidR="00230CD6" w:rsidRDefault="00230CD6" w:rsidP="00230CD6">
      <w:pPr>
        <w:spacing w:line="360" w:lineRule="auto"/>
        <w:jc w:val="both"/>
        <w:rPr>
          <w:rFonts w:ascii="Arial" w:hAnsi="Arial"/>
          <w:noProof w:val="0"/>
          <w:rtl/>
        </w:rPr>
      </w:pPr>
      <w:r>
        <w:rPr>
          <w:rFonts w:ascii="Arial" w:hAnsi="Arial"/>
          <w:noProof w:val="0"/>
          <w:rtl/>
        </w:rPr>
        <w:t xml:space="preserve">ניתן היום,  </w:t>
      </w:r>
      <w:sdt>
        <w:sdtPr>
          <w:rPr>
            <w:rtl/>
          </w:rPr>
          <w:alias w:val="1455"/>
          <w:tag w:val="1455"/>
          <w:id w:val="-1730372766"/>
          <w:text w:multiLine="1"/>
        </w:sdtPr>
        <w:sdtContent>
          <w:r>
            <w:rPr>
              <w:rFonts w:ascii="Arial" w:hAnsi="Arial"/>
              <w:noProof w:val="0"/>
              <w:rtl/>
            </w:rPr>
            <w:t>כ"ז טבת תשפ"ד</w:t>
          </w:r>
        </w:sdtContent>
      </w:sdt>
      <w:r>
        <w:rPr>
          <w:rFonts w:ascii="Arial" w:hAnsi="Arial"/>
          <w:noProof w:val="0"/>
          <w:rtl/>
        </w:rPr>
        <w:t xml:space="preserve">, </w:t>
      </w:r>
      <w:sdt>
        <w:sdtPr>
          <w:rPr>
            <w:rtl/>
          </w:rPr>
          <w:alias w:val="1456"/>
          <w:tag w:val="1456"/>
          <w:id w:val="1443418716"/>
          <w:text w:multiLine="1"/>
        </w:sdtPr>
        <w:sdtContent>
          <w:r>
            <w:rPr>
              <w:rFonts w:ascii="Arial" w:hAnsi="Arial"/>
              <w:noProof w:val="0"/>
              <w:rtl/>
            </w:rPr>
            <w:t>08 ינואר 2024</w:t>
          </w:r>
        </w:sdtContent>
      </w:sdt>
      <w:r>
        <w:rPr>
          <w:rFonts w:ascii="Arial" w:hAnsi="Arial"/>
          <w:noProof w:val="0"/>
          <w:rtl/>
        </w:rPr>
        <w:t>, בהעדר הצדדים.</w:t>
      </w:r>
    </w:p>
    <w:p w:rsidR="00230CD6" w:rsidRDefault="00230CD6" w:rsidP="00230CD6">
      <w:pPr>
        <w:spacing w:line="360" w:lineRule="auto"/>
        <w:jc w:val="both"/>
        <w:rPr>
          <w:rFonts w:ascii="Arial" w:hAnsi="Arial"/>
          <w:noProof w:val="0"/>
          <w:rtl/>
        </w:rPr>
      </w:pPr>
    </w:p>
    <w:p w:rsidR="00230CD6" w:rsidRDefault="00230CD6" w:rsidP="00230CD6">
      <w:pPr>
        <w:spacing w:line="360" w:lineRule="auto"/>
        <w:ind w:left="3600" w:firstLine="720"/>
        <w:jc w:val="center"/>
      </w:pPr>
      <w:sdt>
        <w:sdtPr>
          <w:rPr>
            <w:rtl/>
          </w:rPr>
          <w:alias w:val="MergeField"/>
          <w:tag w:val="1237"/>
          <w:id w:val="-1263836649"/>
        </w:sdtPr>
        <w:sdtContent>
          <w:r>
            <w:drawing>
              <wp:inline distT="0" distB="0" distL="0" distR="0" wp14:anchorId="7BEDDF5F" wp14:editId="6F9F3479">
                <wp:extent cx="1238250" cy="7429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237.jpg"/>
                        <pic:cNvPicPr/>
                      </pic:nvPicPr>
                      <pic:blipFill>
                        <a:blip r:embed="rId5" cstate="print">
                          <a:extLst/>
                        </a:blip>
                        <a:stretch>
                          <a:fillRect/>
                        </a:stretch>
                      </pic:blipFill>
                      <pic:spPr>
                        <a:xfrm>
                          <a:off x="0" y="0"/>
                          <a:ext cx="1238250" cy="742950"/>
                        </a:xfrm>
                        <a:prstGeom prst="rect">
                          <a:avLst/>
                        </a:prstGeom>
                      </pic:spPr>
                    </pic:pic>
                  </a:graphicData>
                </a:graphic>
              </wp:inline>
            </w:drawing>
          </w:r>
        </w:sdtContent>
      </w:sdt>
    </w:p>
    <w:p w:rsidR="00230CD6" w:rsidRDefault="00230CD6" w:rsidP="00230CD6">
      <w:pPr>
        <w:spacing w:line="360" w:lineRule="auto"/>
        <w:ind w:left="3600" w:firstLine="720"/>
        <w:jc w:val="center"/>
        <w:rPr>
          <w:rFonts w:ascii="Arial" w:hAnsi="Arial"/>
          <w:noProof w:val="0"/>
          <w:rtl/>
        </w:rPr>
      </w:pPr>
    </w:p>
    <w:p w:rsidR="00230CD6" w:rsidRDefault="00230CD6" w:rsidP="00230CD6">
      <w:pPr>
        <w:spacing w:line="360" w:lineRule="auto"/>
        <w:jc w:val="both"/>
        <w:rPr>
          <w:rFonts w:ascii="Arial" w:hAnsi="Arial"/>
          <w:noProof w:val="0"/>
          <w:rtl/>
        </w:rPr>
      </w:pPr>
    </w:p>
    <w:p w:rsidR="00230CD6" w:rsidRDefault="00230CD6" w:rsidP="00230CD6">
      <w:pPr>
        <w:spacing w:line="360" w:lineRule="auto"/>
        <w:jc w:val="both"/>
        <w:rPr>
          <w:rFonts w:ascii="Arial" w:hAnsi="Arial"/>
          <w:noProof w:val="0"/>
          <w:rtl/>
        </w:rPr>
      </w:pPr>
    </w:p>
    <w:p w:rsidR="00230CD6" w:rsidRDefault="00230CD6" w:rsidP="00230CD6">
      <w:pPr>
        <w:spacing w:line="360" w:lineRule="auto"/>
        <w:jc w:val="both"/>
        <w:rPr>
          <w:rFonts w:ascii="Arial" w:hAnsi="Arial"/>
          <w:noProof w:val="0"/>
          <w:rtl/>
        </w:rPr>
      </w:pPr>
    </w:p>
    <w:p w:rsidR="00230CD6" w:rsidRDefault="00230CD6" w:rsidP="00230CD6">
      <w:pPr>
        <w:spacing w:line="360" w:lineRule="auto"/>
        <w:jc w:val="both"/>
        <w:rPr>
          <w:rFonts w:ascii="Arial" w:hAnsi="Arial"/>
          <w:noProof w:val="0"/>
          <w:rtl/>
        </w:rPr>
      </w:pPr>
    </w:p>
    <w:p w:rsidR="00230CD6" w:rsidRDefault="00230CD6" w:rsidP="00230CD6">
      <w:pPr>
        <w:spacing w:line="360" w:lineRule="auto"/>
        <w:jc w:val="both"/>
        <w:rPr>
          <w:rFonts w:ascii="Arial" w:hAnsi="Arial"/>
          <w:noProof w:val="0"/>
          <w:rtl/>
        </w:rPr>
      </w:pPr>
    </w:p>
    <w:p w:rsidR="00002AC3" w:rsidRDefault="00002AC3">
      <w:bookmarkStart w:id="0" w:name="_GoBack"/>
      <w:bookmarkEnd w:id="0"/>
    </w:p>
    <w:sectPr w:rsidR="00002AC3" w:rsidSect="00230CD6">
      <w:headerReference w:type="even" r:id="rId6"/>
      <w:headerReference w:type="default" r:id="rId7"/>
      <w:footerReference w:type="even" r:id="rId8"/>
      <w:footerReference w:type="default" r:id="rId9"/>
      <w:headerReference w:type="first" r:id="rId10"/>
      <w:footerReference w:type="first" r:id="rId11"/>
      <w:pgSz w:w="11907" w:h="16840" w:code="9"/>
      <w:pgMar w:top="720" w:right="1701" w:bottom="1134" w:left="1701" w:header="720" w:footer="737" w:gutter="0"/>
      <w:cols w:space="720"/>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David">
    <w:panose1 w:val="020E0502060401010101"/>
    <w:charset w:val="B1"/>
    <w:family w:val="swiss"/>
    <w:pitch w:val="variable"/>
    <w:sig w:usb0="00000801" w:usb1="00000000" w:usb2="00000000" w:usb3="00000000" w:csb0="00000020" w:csb1="00000000"/>
  </w:font>
  <w:font w:name="FrankRuehl">
    <w:panose1 w:val="020E05030601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72A9" w:rsidRDefault="00230CD6">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4556" w:rsidRPr="004E6E3C" w:rsidRDefault="00230CD6">
    <w:pPr>
      <w:pStyle w:val="a5"/>
      <w:jc w:val="center"/>
      <w:rPr>
        <w:rStyle w:val="a8"/>
      </w:rPr>
    </w:pPr>
    <w:r w:rsidRPr="004E6E3C">
      <w:rPr>
        <w:rStyle w:val="a8"/>
        <w:rFonts w:cs="Times New Roman"/>
      </w:rPr>
      <w:fldChar w:fldCharType="begin"/>
    </w:r>
    <w:r w:rsidRPr="004E6E3C">
      <w:rPr>
        <w:rStyle w:val="a8"/>
        <w:rFonts w:cs="Times New Roman"/>
      </w:rPr>
      <w:instrText xml:space="preserve"> PAGE </w:instrText>
    </w:r>
    <w:r w:rsidRPr="004E6E3C">
      <w:rPr>
        <w:rStyle w:val="a8"/>
        <w:rFonts w:cs="Times New Roman"/>
      </w:rPr>
      <w:fldChar w:fldCharType="separate"/>
    </w:r>
    <w:r>
      <w:rPr>
        <w:rStyle w:val="a8"/>
        <w:rFonts w:cs="Times New Roman"/>
        <w:rtl/>
      </w:rPr>
      <w:t>3</w:t>
    </w:r>
    <w:r w:rsidRPr="004E6E3C">
      <w:rPr>
        <w:rStyle w:val="a8"/>
        <w:rFonts w:cs="Times New Roman"/>
      </w:rPr>
      <w:fldChar w:fldCharType="end"/>
    </w:r>
    <w:r w:rsidRPr="004E6E3C">
      <w:rPr>
        <w:rStyle w:val="a8"/>
        <w:rFonts w:hint="cs"/>
        <w:rtl/>
      </w:rPr>
      <w:t xml:space="preserve"> מתוך </w:t>
    </w:r>
    <w:r w:rsidRPr="004E6E3C">
      <w:rPr>
        <w:rStyle w:val="a8"/>
      </w:rPr>
      <w:fldChar w:fldCharType="begin"/>
    </w:r>
    <w:r w:rsidRPr="004E6E3C">
      <w:rPr>
        <w:rStyle w:val="a8"/>
      </w:rPr>
      <w:instrText xml:space="preserve"> NUMPAGES </w:instrText>
    </w:r>
    <w:r w:rsidRPr="004E6E3C">
      <w:rPr>
        <w:rStyle w:val="a8"/>
      </w:rPr>
      <w:fldChar w:fldCharType="separate"/>
    </w:r>
    <w:r>
      <w:rPr>
        <w:rStyle w:val="a8"/>
        <w:rtl/>
      </w:rPr>
      <w:t>7</w:t>
    </w:r>
    <w:r w:rsidRPr="004E6E3C">
      <w:rPr>
        <w:rStyle w:val="a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72A9" w:rsidRDefault="00230CD6">
    <w:pPr>
      <w:pStyle w:val="a5"/>
    </w:pPr>
  </w:p>
</w:ftr>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72A9" w:rsidRDefault="00230CD6">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4556" w:rsidRDefault="00230CD6">
    <w:pPr>
      <w:pStyle w:val="a3"/>
      <w:jc w:val="center"/>
      <w:rPr>
        <w:rFonts w:cs="FrankRuehl"/>
        <w:noProof w:val="0"/>
        <w:sz w:val="28"/>
        <w:szCs w:val="28"/>
        <w:rtl/>
      </w:rPr>
    </w:pPr>
    <w:r>
      <w:rPr>
        <w:rFonts w:cs="FrankRuehl"/>
        <w:sz w:val="28"/>
        <w:szCs w:val="28"/>
      </w:rPr>
      <w:drawing>
        <wp:inline distT="0" distB="0" distL="0" distR="0" wp14:anchorId="1303575B" wp14:editId="023B0279">
          <wp:extent cx="371475" cy="466725"/>
          <wp:effectExtent l="0" t="0" r="9525" b="9525"/>
          <wp:docPr id="2" name="Picture 1" descr="ישראל - המנורה -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ישראל - המנורה -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1475" cy="466725"/>
                  </a:xfrm>
                  <a:prstGeom prst="rect">
                    <a:avLst/>
                  </a:prstGeom>
                  <a:noFill/>
                  <a:ln>
                    <a:noFill/>
                  </a:ln>
                </pic:spPr>
              </pic:pic>
            </a:graphicData>
          </a:graphic>
        </wp:inline>
      </w:drawing>
    </w:r>
  </w:p>
  <w:tbl>
    <w:tblPr>
      <w:bidiVisual/>
      <w:tblW w:w="0" w:type="auto"/>
      <w:jc w:val="center"/>
      <w:tblLook w:val="0000" w:firstRow="0" w:lastRow="0" w:firstColumn="0" w:lastColumn="0" w:noHBand="0" w:noVBand="0"/>
    </w:tblPr>
    <w:tblGrid>
      <w:gridCol w:w="4924"/>
      <w:gridCol w:w="3581"/>
    </w:tblGrid>
    <w:tr w:rsidR="00694556">
      <w:trPr>
        <w:trHeight w:hRule="exact" w:val="418"/>
        <w:jc w:val="center"/>
      </w:trPr>
      <w:sdt>
        <w:sdtPr>
          <w:rPr>
            <w:rtl/>
          </w:rPr>
          <w:alias w:val="1174"/>
          <w:tag w:val="1174"/>
          <w:id w:val="841659999"/>
          <w:text/>
        </w:sdtPr>
        <w:sdtEndPr/>
        <w:sdtContent>
          <w:tc>
            <w:tcPr>
              <w:tcW w:w="8721" w:type="dxa"/>
              <w:gridSpan w:val="2"/>
            </w:tcPr>
            <w:p w:rsidR="00694556" w:rsidRDefault="00230CD6">
              <w:pPr>
                <w:pStyle w:val="a3"/>
                <w:jc w:val="center"/>
                <w:rPr>
                  <w:rFonts w:ascii="Tahoma" w:hAnsi="Tahoma" w:cs="Tahoma"/>
                  <w:noProof w:val="0"/>
                  <w:color w:val="000080"/>
                  <w:rtl/>
                </w:rPr>
              </w:pPr>
              <w:r>
                <w:rPr>
                  <w:rFonts w:ascii="Tahoma" w:hAnsi="Tahoma" w:cs="Tahoma"/>
                  <w:b/>
                  <w:bCs/>
                  <w:noProof w:val="0"/>
                  <w:color w:val="000080"/>
                  <w:rtl/>
                </w:rPr>
                <w:t>בית משפט לתביעות קטנות בבאר שבע</w:t>
              </w:r>
            </w:p>
          </w:tc>
        </w:sdtContent>
      </w:sdt>
    </w:tr>
    <w:tr w:rsidR="00694556">
      <w:trPr>
        <w:trHeight w:val="337"/>
        <w:jc w:val="center"/>
      </w:trPr>
      <w:tc>
        <w:tcPr>
          <w:tcW w:w="5047" w:type="dxa"/>
        </w:tcPr>
        <w:p w:rsidR="00694556" w:rsidRDefault="00230CD6">
          <w:pPr>
            <w:rPr>
              <w:b/>
              <w:bCs/>
              <w:noProof w:val="0"/>
              <w:sz w:val="26"/>
              <w:szCs w:val="26"/>
              <w:rtl/>
            </w:rPr>
          </w:pPr>
        </w:p>
      </w:tc>
      <w:tc>
        <w:tcPr>
          <w:tcW w:w="3674" w:type="dxa"/>
        </w:tcPr>
        <w:p w:rsidR="00694556" w:rsidRDefault="00230CD6">
          <w:pPr>
            <w:pStyle w:val="a3"/>
            <w:jc w:val="right"/>
            <w:rPr>
              <w:b/>
              <w:bCs/>
              <w:noProof w:val="0"/>
              <w:sz w:val="26"/>
              <w:szCs w:val="26"/>
              <w:rtl/>
            </w:rPr>
          </w:pPr>
        </w:p>
      </w:tc>
    </w:tr>
    <w:tr w:rsidR="00694556">
      <w:trPr>
        <w:trHeight w:val="337"/>
        <w:jc w:val="center"/>
      </w:trPr>
      <w:tc>
        <w:tcPr>
          <w:tcW w:w="8721" w:type="dxa"/>
          <w:gridSpan w:val="2"/>
        </w:tcPr>
        <w:p w:rsidR="00694556" w:rsidRDefault="00230CD6">
          <w:pPr>
            <w:rPr>
              <w:b/>
              <w:bCs/>
              <w:noProof w:val="0"/>
              <w:sz w:val="26"/>
              <w:szCs w:val="26"/>
              <w:rtl/>
            </w:rPr>
          </w:pPr>
          <w:sdt>
            <w:sdtPr>
              <w:rPr>
                <w:rtl/>
              </w:rPr>
              <w:alias w:val="1170"/>
              <w:tag w:val="1170"/>
              <w:id w:val="-1402207329"/>
              <w:text w:multiLine="1"/>
            </w:sdtPr>
            <w:sdtEndPr/>
            <w:sdtContent>
              <w:r>
                <w:rPr>
                  <w:b/>
                  <w:bCs/>
                  <w:noProof w:val="0"/>
                  <w:sz w:val="26"/>
                  <w:szCs w:val="26"/>
                  <w:rtl/>
                </w:rPr>
                <w:t>ת"ק</w:t>
              </w:r>
            </w:sdtContent>
          </w:sdt>
          <w:r>
            <w:rPr>
              <w:b/>
              <w:bCs/>
              <w:noProof w:val="0"/>
              <w:sz w:val="26"/>
              <w:szCs w:val="26"/>
              <w:rtl/>
            </w:rPr>
            <w:t xml:space="preserve"> </w:t>
          </w:r>
          <w:sdt>
            <w:sdtPr>
              <w:rPr>
                <w:rtl/>
              </w:rPr>
              <w:alias w:val="1171"/>
              <w:tag w:val="1171"/>
              <w:id w:val="598068971"/>
              <w:text w:multiLine="1"/>
            </w:sdtPr>
            <w:sdtEndPr/>
            <w:sdtContent>
              <w:r>
                <w:rPr>
                  <w:b/>
                  <w:bCs/>
                  <w:noProof w:val="0"/>
                  <w:sz w:val="26"/>
                  <w:szCs w:val="26"/>
                  <w:rtl/>
                </w:rPr>
                <w:t>18878-07-23</w:t>
              </w:r>
            </w:sdtContent>
          </w:sdt>
          <w:r>
            <w:rPr>
              <w:b/>
              <w:bCs/>
              <w:noProof w:val="0"/>
              <w:sz w:val="26"/>
              <w:szCs w:val="26"/>
              <w:rtl/>
            </w:rPr>
            <w:t xml:space="preserve"> </w:t>
          </w:r>
          <w:sdt>
            <w:sdtPr>
              <w:rPr>
                <w:rtl/>
              </w:rPr>
              <w:alias w:val="1172"/>
              <w:tag w:val="1172"/>
              <w:id w:val="-2021928512"/>
              <w:text w:multiLine="1"/>
            </w:sdtPr>
            <w:sdtEndPr/>
            <w:sdtContent>
              <w:r>
                <w:rPr>
                  <w:b/>
                  <w:bCs/>
                  <w:noProof w:val="0"/>
                  <w:sz w:val="26"/>
                  <w:szCs w:val="26"/>
                  <w:rtl/>
                </w:rPr>
                <w:t>פרברי ואח' נ' איי אי ג'י ישראל חברה לביטוח בע"מ ואח'</w:t>
              </w:r>
            </w:sdtContent>
          </w:sdt>
        </w:p>
        <w:p w:rsidR="00694556" w:rsidRDefault="00230CD6">
          <w:pPr>
            <w:rPr>
              <w:rtl/>
            </w:rPr>
          </w:pPr>
        </w:p>
      </w:tc>
    </w:tr>
  </w:tbl>
  <w:p w:rsidR="00694556" w:rsidRDefault="00230CD6">
    <w:pPr>
      <w:pStyle w:val="a3"/>
      <w:rPr>
        <w:noProof w:val="0"/>
        <w:rtl/>
      </w:rPr>
    </w:pPr>
    <w:r>
      <w:rPr>
        <w:noProof w:val="0"/>
        <w:rtl/>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72A9" w:rsidRDefault="00230CD6">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B062FEF"/>
    <w:multiLevelType w:val="hybridMultilevel"/>
    <w:tmpl w:val="CFC41646"/>
    <w:lvl w:ilvl="0" w:tplc="FA7C2658">
      <w:start w:val="1"/>
      <w:numFmt w:val="decimal"/>
      <w:lvlText w:val="%1."/>
      <w:lvlJc w:val="left"/>
      <w:pPr>
        <w:ind w:left="720" w:hanging="360"/>
      </w:pPr>
      <w:rPr>
        <w:b w:val="0"/>
        <w:bCs w:val="0"/>
      </w:rPr>
    </w:lvl>
    <w:lvl w:ilvl="1" w:tplc="04090013">
      <w:start w:val="1"/>
      <w:numFmt w:val="hebrew1"/>
      <w:lvlText w:val="%2."/>
      <w:lvlJc w:val="center"/>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5"/>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56CE"/>
    <w:rsid w:val="00002AC3"/>
    <w:rsid w:val="00230CD6"/>
    <w:rsid w:val="0088602A"/>
    <w:rsid w:val="00DA56CE"/>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A9CB8E-B961-495E-8418-1300AD491C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bidi/>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0CD6"/>
    <w:pPr>
      <w:spacing w:line="240" w:lineRule="auto"/>
      <w:jc w:val="left"/>
    </w:pPr>
    <w:rPr>
      <w:rFonts w:ascii="Times New Roman" w:eastAsia="Times New Roman" w:hAnsi="Times New Roman" w:cs="David"/>
      <w:noProo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230CD6"/>
    <w:pPr>
      <w:tabs>
        <w:tab w:val="center" w:pos="4153"/>
        <w:tab w:val="right" w:pos="8306"/>
      </w:tabs>
    </w:pPr>
  </w:style>
  <w:style w:type="character" w:customStyle="1" w:styleId="a4">
    <w:name w:val="כותרת עליונה תו"/>
    <w:basedOn w:val="a0"/>
    <w:link w:val="a3"/>
    <w:rsid w:val="00230CD6"/>
    <w:rPr>
      <w:rFonts w:ascii="Times New Roman" w:eastAsia="Times New Roman" w:hAnsi="Times New Roman" w:cs="David"/>
      <w:noProof/>
      <w:sz w:val="24"/>
      <w:szCs w:val="24"/>
    </w:rPr>
  </w:style>
  <w:style w:type="paragraph" w:styleId="a5">
    <w:name w:val="footer"/>
    <w:basedOn w:val="a"/>
    <w:link w:val="a6"/>
    <w:rsid w:val="00230CD6"/>
    <w:pPr>
      <w:tabs>
        <w:tab w:val="center" w:pos="4153"/>
        <w:tab w:val="right" w:pos="8306"/>
      </w:tabs>
    </w:pPr>
  </w:style>
  <w:style w:type="character" w:customStyle="1" w:styleId="a6">
    <w:name w:val="כותרת תחתונה תו"/>
    <w:basedOn w:val="a0"/>
    <w:link w:val="a5"/>
    <w:rsid w:val="00230CD6"/>
    <w:rPr>
      <w:rFonts w:ascii="Times New Roman" w:eastAsia="Times New Roman" w:hAnsi="Times New Roman" w:cs="David"/>
      <w:noProof/>
      <w:sz w:val="24"/>
      <w:szCs w:val="24"/>
    </w:rPr>
  </w:style>
  <w:style w:type="table" w:styleId="a7">
    <w:name w:val="Table Grid"/>
    <w:basedOn w:val="a1"/>
    <w:rsid w:val="00230CD6"/>
    <w:pPr>
      <w:spacing w:line="240" w:lineRule="auto"/>
      <w:jc w:val="left"/>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page number"/>
    <w:basedOn w:val="a0"/>
    <w:rsid w:val="00230CD6"/>
  </w:style>
  <w:style w:type="paragraph" w:styleId="a9">
    <w:name w:val="List Paragraph"/>
    <w:basedOn w:val="a"/>
    <w:uiPriority w:val="34"/>
    <w:qFormat/>
    <w:rsid w:val="00230CD6"/>
    <w:pPr>
      <w:ind w:left="720"/>
      <w:contextualSpacing/>
    </w:pPr>
  </w:style>
  <w:style w:type="character" w:styleId="aa">
    <w:name w:val="line number"/>
    <w:basedOn w:val="a0"/>
    <w:uiPriority w:val="99"/>
    <w:semiHidden/>
    <w:unhideWhenUsed/>
    <w:rsid w:val="00230C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image" Target="media/image1.jpg"/><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1792</Words>
  <Characters>8964</Characters>
  <Application>Microsoft Office Word</Application>
  <DocSecurity>0</DocSecurity>
  <Lines>74</Lines>
  <Paragraphs>21</Paragraphs>
  <ScaleCrop>false</ScaleCrop>
  <Company/>
  <LinksUpToDate>false</LinksUpToDate>
  <CharactersWithSpaces>10735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Haim Kalir</dc:creator>
  <cp:keywords/>
  <dc:description/>
  <cp:lastModifiedBy>Haim Kalir</cp:lastModifiedBy>
  <cp:revision>2</cp:revision>
  <dcterms:created xsi:type="dcterms:W3CDTF">2024-03-02T15:06:00Z</dcterms:created>
  <dcterms:modified xsi:type="dcterms:W3CDTF">2024-03-02T15:07:00Z</dcterms:modified>
</cp:coreProperties>
</file>