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bidiVisual/>
        <w:tblW w:w="8558" w:type="dxa"/>
        <w:jc w:val="center"/>
        <w:tblLook w:val="0000" w:firstRow="0" w:lastRow="0" w:firstColumn="0" w:lastColumn="0" w:noHBand="0" w:noVBand="0"/>
      </w:tblPr>
      <w:tblGrid>
        <w:gridCol w:w="34"/>
        <w:gridCol w:w="3212"/>
        <w:gridCol w:w="2173"/>
        <w:gridCol w:w="281"/>
        <w:gridCol w:w="2641"/>
        <w:gridCol w:w="217"/>
      </w:tblGrid>
      <w:tr w:rsidR="00A53711" w:rsidRPr="00E07FAB" w:rsidTr="002D04AC">
        <w:trPr>
          <w:gridBefore w:val="1"/>
          <w:gridAfter w:val="1"/>
          <w:wBefore w:w="34" w:type="dxa"/>
          <w:wAfter w:w="217" w:type="dxa"/>
          <w:trHeight w:hRule="exact" w:val="418"/>
          <w:jc w:val="center"/>
        </w:trPr>
        <w:tc>
          <w:tcPr>
            <w:tcW w:w="8307" w:type="dxa"/>
            <w:gridSpan w:val="4"/>
          </w:tcPr>
          <w:p w:rsidR="00A53711" w:rsidRPr="00E406EB" w:rsidRDefault="00A53711" w:rsidP="008F5E68">
            <w:pPr>
              <w:pStyle w:val="a3"/>
              <w:tabs>
                <w:tab w:val="clear" w:pos="8306"/>
              </w:tabs>
              <w:jc w:val="center"/>
              <w:rPr>
                <w:rFonts w:ascii="Tahoma" w:hAnsi="Tahoma" w:cs="Tahoma"/>
                <w:b/>
                <w:bCs/>
                <w:color w:val="000080"/>
                <w:rtl/>
              </w:rPr>
            </w:pPr>
            <w:r w:rsidRPr="00E406EB">
              <w:rPr>
                <w:rFonts w:ascii="Tahoma" w:hAnsi="Tahoma" w:cs="Tahoma"/>
                <w:b/>
                <w:bCs/>
                <w:color w:val="000080"/>
                <w:rtl/>
              </w:rPr>
              <w:t>בית המשפט המחוזי בבאר שבע</w:t>
            </w:r>
          </w:p>
        </w:tc>
      </w:tr>
      <w:tr w:rsidR="00A53711" w:rsidRPr="00E406EB" w:rsidTr="002D04AC">
        <w:trPr>
          <w:gridBefore w:val="1"/>
          <w:gridAfter w:val="1"/>
          <w:wBefore w:w="34" w:type="dxa"/>
          <w:wAfter w:w="217" w:type="dxa"/>
          <w:trHeight w:val="337"/>
          <w:jc w:val="center"/>
        </w:trPr>
        <w:tc>
          <w:tcPr>
            <w:tcW w:w="5385" w:type="dxa"/>
            <w:gridSpan w:val="2"/>
          </w:tcPr>
          <w:p w:rsidR="00A53711" w:rsidRPr="00E406EB" w:rsidRDefault="00A53711" w:rsidP="008F5E68">
            <w:pPr>
              <w:spacing w:before="120" w:after="120" w:line="240" w:lineRule="exact"/>
              <w:rPr>
                <w:b/>
                <w:bCs/>
                <w:sz w:val="26"/>
                <w:szCs w:val="26"/>
                <w:rtl/>
              </w:rPr>
            </w:pPr>
            <w:r w:rsidRPr="00E406EB">
              <w:rPr>
                <w:b/>
                <w:bCs/>
                <w:sz w:val="26"/>
                <w:szCs w:val="26"/>
                <w:rtl/>
              </w:rPr>
              <w:t xml:space="preserve">בפני כב' סגן הנשיאה, השופט אריאל ואגו – אב"ד </w:t>
            </w:r>
          </w:p>
          <w:p w:rsidR="00A53711" w:rsidRPr="00E406EB" w:rsidRDefault="00A53711" w:rsidP="008F5E68">
            <w:pPr>
              <w:spacing w:before="120" w:after="120" w:line="240" w:lineRule="exact"/>
              <w:rPr>
                <w:b/>
                <w:bCs/>
                <w:sz w:val="26"/>
                <w:szCs w:val="26"/>
                <w:rtl/>
              </w:rPr>
            </w:pPr>
            <w:r w:rsidRPr="00E406EB">
              <w:rPr>
                <w:b/>
                <w:bCs/>
                <w:sz w:val="26"/>
                <w:szCs w:val="26"/>
                <w:rtl/>
              </w:rPr>
              <w:t xml:space="preserve">         כב' השופט אריאל חזק </w:t>
            </w:r>
          </w:p>
          <w:p w:rsidR="00A53711" w:rsidRPr="00E406EB" w:rsidRDefault="00A53711" w:rsidP="008F5E68">
            <w:pPr>
              <w:spacing w:before="120" w:after="120" w:line="240" w:lineRule="exact"/>
              <w:rPr>
                <w:b/>
                <w:bCs/>
                <w:sz w:val="26"/>
                <w:szCs w:val="26"/>
                <w:rtl/>
              </w:rPr>
            </w:pPr>
            <w:r w:rsidRPr="00E406EB">
              <w:rPr>
                <w:b/>
                <w:bCs/>
                <w:sz w:val="26"/>
                <w:szCs w:val="26"/>
                <w:rtl/>
              </w:rPr>
              <w:t xml:space="preserve">         כב' השופטת פאני גילת כהן </w:t>
            </w:r>
          </w:p>
        </w:tc>
        <w:tc>
          <w:tcPr>
            <w:tcW w:w="281" w:type="dxa"/>
          </w:tcPr>
          <w:p w:rsidR="00A53711" w:rsidRPr="00E406EB" w:rsidRDefault="00A53711" w:rsidP="008F5E68">
            <w:pPr>
              <w:pStyle w:val="a3"/>
              <w:spacing w:before="120" w:after="120" w:line="240" w:lineRule="exact"/>
              <w:jc w:val="right"/>
              <w:rPr>
                <w:b/>
                <w:bCs/>
                <w:sz w:val="26"/>
                <w:szCs w:val="26"/>
                <w:rtl/>
              </w:rPr>
            </w:pPr>
          </w:p>
        </w:tc>
        <w:tc>
          <w:tcPr>
            <w:tcW w:w="2641" w:type="dxa"/>
          </w:tcPr>
          <w:p w:rsidR="00A53711" w:rsidRPr="00E406EB" w:rsidRDefault="00A53711" w:rsidP="008F5E68">
            <w:pPr>
              <w:pStyle w:val="a3"/>
              <w:tabs>
                <w:tab w:val="clear" w:pos="4153"/>
              </w:tabs>
              <w:spacing w:before="120" w:after="120" w:line="240" w:lineRule="exact"/>
              <w:jc w:val="right"/>
              <w:rPr>
                <w:b/>
                <w:bCs/>
                <w:sz w:val="26"/>
                <w:szCs w:val="26"/>
                <w:rtl/>
              </w:rPr>
            </w:pPr>
            <w:r w:rsidRPr="00E406EB">
              <w:rPr>
                <w:b/>
                <w:bCs/>
                <w:sz w:val="26"/>
                <w:szCs w:val="26"/>
                <w:rtl/>
              </w:rPr>
              <w:t>27 ספטמבר 2023</w:t>
            </w:r>
            <w:r w:rsidRPr="00E406EB">
              <w:rPr>
                <w:b/>
                <w:bCs/>
                <w:sz w:val="26"/>
                <w:szCs w:val="26"/>
                <w:rtl/>
              </w:rPr>
              <w:br/>
            </w:r>
            <w:r w:rsidRPr="00E406EB">
              <w:rPr>
                <w:b/>
                <w:bCs/>
                <w:sz w:val="26"/>
                <w:szCs w:val="26"/>
                <w:rtl/>
              </w:rPr>
              <w:br/>
              <w:t>ע"א 59025-03-23</w:t>
            </w:r>
          </w:p>
        </w:tc>
      </w:tr>
      <w:tr w:rsidR="00A53711" w:rsidRPr="00E406EB" w:rsidTr="002D04AC">
        <w:tblPrEx>
          <w:jc w:val="left"/>
          <w:tblLook w:val="01E0" w:firstRow="1" w:lastRow="1" w:firstColumn="1" w:lastColumn="1" w:noHBand="0" w:noVBand="0"/>
        </w:tblPrEx>
        <w:tc>
          <w:tcPr>
            <w:tcW w:w="3246" w:type="dxa"/>
            <w:gridSpan w:val="2"/>
          </w:tcPr>
          <w:p w:rsidR="00A53711" w:rsidRPr="00E406EB" w:rsidRDefault="00A53711" w:rsidP="008F5E68">
            <w:pPr>
              <w:suppressLineNumbers/>
              <w:spacing w:before="120" w:after="120" w:line="240" w:lineRule="exact"/>
              <w:rPr>
                <w:b/>
                <w:bCs/>
                <w:sz w:val="26"/>
                <w:szCs w:val="26"/>
                <w:rtl/>
              </w:rPr>
            </w:pPr>
            <w:bookmarkStart w:id="0" w:name="LastJudge"/>
            <w:bookmarkStart w:id="1" w:name="FirstAppellant"/>
            <w:bookmarkEnd w:id="0"/>
            <w:r w:rsidRPr="00E406EB">
              <w:rPr>
                <w:b/>
                <w:bCs/>
                <w:sz w:val="26"/>
                <w:szCs w:val="26"/>
                <w:rtl/>
              </w:rPr>
              <w:t>המערערת</w:t>
            </w:r>
          </w:p>
        </w:tc>
        <w:tc>
          <w:tcPr>
            <w:tcW w:w="5312" w:type="dxa"/>
            <w:gridSpan w:val="4"/>
          </w:tcPr>
          <w:p w:rsidR="00A53711" w:rsidRPr="00E406EB" w:rsidRDefault="00A53711" w:rsidP="008F5E68">
            <w:pPr>
              <w:suppressLineNumbers/>
              <w:spacing w:before="120" w:after="120" w:line="240" w:lineRule="exact"/>
              <w:rPr>
                <w:rFonts w:cs="Times New Roman"/>
                <w:sz w:val="26"/>
                <w:szCs w:val="26"/>
                <w:rtl/>
              </w:rPr>
            </w:pPr>
            <w:r w:rsidRPr="00E406EB">
              <w:rPr>
                <w:b/>
                <w:bCs/>
                <w:sz w:val="26"/>
                <w:szCs w:val="26"/>
                <w:rtl/>
              </w:rPr>
              <w:t>התאגיד המנהל של המאגר לביטוח רכב חובה ("הפול") בע"מ חברות 513136895</w:t>
            </w:r>
          </w:p>
        </w:tc>
      </w:tr>
      <w:bookmarkEnd w:id="1"/>
      <w:tr w:rsidR="00A53711" w:rsidRPr="00E406EB" w:rsidTr="002D04AC">
        <w:tblPrEx>
          <w:jc w:val="left"/>
          <w:tblLook w:val="01E0" w:firstRow="1" w:lastRow="1" w:firstColumn="1" w:lastColumn="1" w:noHBand="0" w:noVBand="0"/>
        </w:tblPrEx>
        <w:tc>
          <w:tcPr>
            <w:tcW w:w="8558" w:type="dxa"/>
            <w:gridSpan w:val="6"/>
          </w:tcPr>
          <w:p w:rsidR="00A53711" w:rsidRPr="00E406EB" w:rsidRDefault="00A53711" w:rsidP="008F5E68">
            <w:pPr>
              <w:suppressLineNumbers/>
              <w:spacing w:before="240" w:after="240" w:line="240" w:lineRule="exact"/>
              <w:jc w:val="center"/>
              <w:rPr>
                <w:b/>
                <w:bCs/>
                <w:sz w:val="26"/>
                <w:szCs w:val="26"/>
                <w:rtl/>
              </w:rPr>
            </w:pPr>
            <w:r w:rsidRPr="00E406EB">
              <w:rPr>
                <w:b/>
                <w:bCs/>
                <w:sz w:val="26"/>
                <w:szCs w:val="26"/>
                <w:rtl/>
              </w:rPr>
              <w:t>נגד</w:t>
            </w:r>
          </w:p>
        </w:tc>
      </w:tr>
      <w:tr w:rsidR="00A53711" w:rsidRPr="00E406EB" w:rsidTr="002D04AC">
        <w:tblPrEx>
          <w:jc w:val="left"/>
          <w:tblLook w:val="01E0" w:firstRow="1" w:lastRow="1" w:firstColumn="1" w:lastColumn="1" w:noHBand="0" w:noVBand="0"/>
        </w:tblPrEx>
        <w:trPr>
          <w:trHeight w:val="740"/>
        </w:trPr>
        <w:tc>
          <w:tcPr>
            <w:tcW w:w="3246" w:type="dxa"/>
            <w:gridSpan w:val="2"/>
          </w:tcPr>
          <w:p w:rsidR="00A53711" w:rsidRPr="00E406EB" w:rsidRDefault="00A53711" w:rsidP="008F5E68">
            <w:pPr>
              <w:suppressLineNumbers/>
              <w:spacing w:before="120" w:after="120" w:line="240" w:lineRule="exact"/>
              <w:rPr>
                <w:b/>
                <w:bCs/>
                <w:sz w:val="26"/>
                <w:szCs w:val="26"/>
                <w:rtl/>
              </w:rPr>
            </w:pPr>
            <w:r w:rsidRPr="00E406EB">
              <w:rPr>
                <w:b/>
                <w:bCs/>
                <w:sz w:val="26"/>
                <w:szCs w:val="26"/>
                <w:rtl/>
              </w:rPr>
              <w:t>המשיב</w:t>
            </w:r>
          </w:p>
        </w:tc>
        <w:tc>
          <w:tcPr>
            <w:tcW w:w="5312" w:type="dxa"/>
            <w:gridSpan w:val="4"/>
          </w:tcPr>
          <w:p w:rsidR="00A53711" w:rsidRPr="00E406EB" w:rsidRDefault="00A53711" w:rsidP="0019101E">
            <w:pPr>
              <w:suppressLineNumbers/>
              <w:spacing w:before="120" w:after="120" w:line="240" w:lineRule="exact"/>
              <w:rPr>
                <w:b/>
                <w:bCs/>
                <w:sz w:val="26"/>
                <w:szCs w:val="26"/>
                <w:rtl/>
              </w:rPr>
            </w:pPr>
            <w:r w:rsidRPr="00E406EB">
              <w:rPr>
                <w:b/>
                <w:bCs/>
                <w:sz w:val="26"/>
                <w:szCs w:val="26"/>
                <w:rtl/>
              </w:rPr>
              <w:t xml:space="preserve"> </w:t>
            </w:r>
            <w:r w:rsidR="0019101E">
              <w:rPr>
                <w:rFonts w:hint="cs"/>
                <w:b/>
                <w:bCs/>
                <w:sz w:val="26"/>
                <w:szCs w:val="26"/>
                <w:rtl/>
              </w:rPr>
              <w:t>פלוני</w:t>
            </w:r>
            <w:r w:rsidRPr="00E406EB">
              <w:rPr>
                <w:b/>
                <w:bCs/>
                <w:sz w:val="26"/>
                <w:szCs w:val="26"/>
                <w:rtl/>
              </w:rPr>
              <w:t xml:space="preserve"> ת"ז  </w:t>
            </w:r>
            <w:r w:rsidRPr="00E406EB">
              <w:rPr>
                <w:b/>
                <w:bCs/>
                <w:sz w:val="26"/>
                <w:szCs w:val="26"/>
              </w:rPr>
              <w:t>xxxxxxxxx</w:t>
            </w:r>
          </w:p>
        </w:tc>
      </w:tr>
    </w:tbl>
    <w:p w:rsidR="008864F1" w:rsidRPr="00E406EB" w:rsidRDefault="008864F1" w:rsidP="008F5E68">
      <w:pPr>
        <w:suppressLineNumbers/>
        <w:spacing w:before="120" w:after="120" w:line="240" w:lineRule="exact"/>
        <w:rPr>
          <w:b/>
          <w:bCs/>
          <w:sz w:val="26"/>
          <w:szCs w:val="26"/>
        </w:rPr>
      </w:pPr>
      <w:r w:rsidRPr="00E406EB">
        <w:rPr>
          <w:b/>
          <w:bCs/>
          <w:sz w:val="26"/>
          <w:szCs w:val="26"/>
          <w:rtl/>
        </w:rPr>
        <w:t>ערעור על פסק דינו של בית משפט השלום בבאר שבע (כב' השופט יורם ברוזה) ב</w:t>
      </w:r>
      <w:r w:rsidRPr="0019101E">
        <w:rPr>
          <w:b/>
          <w:bCs/>
          <w:sz w:val="26"/>
          <w:szCs w:val="26"/>
          <w:rtl/>
        </w:rPr>
        <w:t>ת.א. 76917-12-20</w:t>
      </w:r>
      <w:r w:rsidRPr="00E406EB">
        <w:rPr>
          <w:b/>
          <w:bCs/>
          <w:sz w:val="26"/>
          <w:szCs w:val="26"/>
          <w:rtl/>
        </w:rPr>
        <w:t xml:space="preserve"> מיום 25.1.23</w:t>
      </w:r>
    </w:p>
    <w:p w:rsidR="00A53711" w:rsidRPr="00E07FAB" w:rsidRDefault="00A53711" w:rsidP="00A53711">
      <w:pPr>
        <w:spacing w:line="360" w:lineRule="auto"/>
        <w:jc w:val="both"/>
        <w:rPr>
          <w:rFonts w:ascii="Arial" w:hAnsi="Arial"/>
          <w:b/>
          <w:bCs/>
          <w:rtl/>
        </w:rPr>
      </w:pPr>
      <w:r w:rsidRPr="00E07FAB">
        <w:rPr>
          <w:rFonts w:ascii="Arial" w:hAnsi="Arial"/>
          <w:b/>
          <w:bCs/>
          <w:rtl/>
        </w:rPr>
        <w:t>נוכחים:</w:t>
      </w:r>
    </w:p>
    <w:p w:rsidR="00A53711" w:rsidRPr="00E07FAB" w:rsidRDefault="00A53711" w:rsidP="00A53711">
      <w:pPr>
        <w:spacing w:line="360" w:lineRule="auto"/>
        <w:jc w:val="both"/>
        <w:rPr>
          <w:rFonts w:ascii="Arial" w:hAnsi="Arial"/>
          <w:rtl/>
        </w:rPr>
      </w:pPr>
      <w:bookmarkStart w:id="2" w:name="FirstLawyer"/>
      <w:r w:rsidRPr="00E07FAB">
        <w:rPr>
          <w:rFonts w:ascii="Arial" w:hAnsi="Arial"/>
          <w:rtl/>
        </w:rPr>
        <w:t>ב"כ</w:t>
      </w:r>
      <w:bookmarkEnd w:id="2"/>
      <w:r w:rsidRPr="00E07FAB">
        <w:rPr>
          <w:rFonts w:ascii="Arial" w:hAnsi="Arial"/>
          <w:rtl/>
        </w:rPr>
        <w:t xml:space="preserve"> המערערת עו"ד יובל ראובינוף</w:t>
      </w:r>
    </w:p>
    <w:p w:rsidR="00A53711" w:rsidRPr="00E07FAB" w:rsidRDefault="00A53711" w:rsidP="00A53711">
      <w:pPr>
        <w:spacing w:line="360" w:lineRule="auto"/>
        <w:jc w:val="both"/>
        <w:rPr>
          <w:rFonts w:ascii="Arial" w:hAnsi="Arial"/>
          <w:rtl/>
        </w:rPr>
      </w:pPr>
      <w:r w:rsidRPr="00E07FAB">
        <w:rPr>
          <w:rFonts w:ascii="Arial" w:hAnsi="Arial"/>
          <w:rtl/>
        </w:rPr>
        <w:t xml:space="preserve">המשיב וב"כ עו"ד גיא אשר </w:t>
      </w:r>
    </w:p>
    <w:p w:rsidR="00A53711" w:rsidRPr="00E07FAB" w:rsidRDefault="00A53711" w:rsidP="00A53711">
      <w:pPr>
        <w:jc w:val="both"/>
        <w:rPr>
          <w:sz w:val="6"/>
          <w:szCs w:val="6"/>
          <w:rtl/>
        </w:rPr>
      </w:pPr>
      <w:r w:rsidRPr="00E07FAB">
        <w:rPr>
          <w:sz w:val="6"/>
          <w:szCs w:val="6"/>
          <w:rtl/>
        </w:rPr>
        <w:t>&lt;#1#&gt;</w:t>
      </w:r>
    </w:p>
    <w:p w:rsidR="00A53711" w:rsidRPr="00E07FAB" w:rsidRDefault="00A53711" w:rsidP="00A53711">
      <w:pPr>
        <w:spacing w:line="360" w:lineRule="auto"/>
        <w:jc w:val="both"/>
        <w:rPr>
          <w:rtl/>
        </w:rPr>
      </w:pPr>
      <w:r w:rsidRPr="00E07FAB">
        <w:rPr>
          <w:b/>
          <w:bCs/>
          <w:rtl/>
        </w:rPr>
        <w:t>ב"כ הצדדים:</w:t>
      </w:r>
    </w:p>
    <w:p w:rsidR="00A53711" w:rsidRPr="00E07FAB" w:rsidRDefault="00A53711" w:rsidP="00A53711">
      <w:pPr>
        <w:spacing w:line="360" w:lineRule="auto"/>
        <w:jc w:val="both"/>
        <w:rPr>
          <w:rtl/>
        </w:rPr>
      </w:pPr>
      <w:r w:rsidRPr="00E07FAB">
        <w:rPr>
          <w:rtl/>
        </w:rPr>
        <w:t>נוכח הערותיו של ביהמ"ש והמלצתו, ולאחר שנועצנו במרשינו, אנו מודיעים בשלב זה שהגענו להסדר כדלקמן:</w:t>
      </w:r>
    </w:p>
    <w:p w:rsidR="00A53711" w:rsidRPr="00E07FAB" w:rsidRDefault="00A53711" w:rsidP="00A53711">
      <w:pPr>
        <w:spacing w:line="360" w:lineRule="auto"/>
        <w:jc w:val="both"/>
        <w:rPr>
          <w:rtl/>
        </w:rPr>
      </w:pPr>
      <w:r w:rsidRPr="00E07FAB">
        <w:rPr>
          <w:rtl/>
        </w:rPr>
        <w:t xml:space="preserve">פסק הדין מושא הערעור יבוטל, אולם המערערת מוחלת על החזר מלא של הפיצוי ששולם מבלי שיש בכך משום הודאה בחבותה לפיצוי המשיב ובלבד שיוחזר סכום של 55,000 ₪ ב- 11 תשלומים חודשיים שווים בסך של 5,000 ₪ כל אחד. </w:t>
      </w:r>
    </w:p>
    <w:p w:rsidR="00A53711" w:rsidRPr="00E07FAB" w:rsidRDefault="00A53711" w:rsidP="00A53711">
      <w:pPr>
        <w:spacing w:line="360" w:lineRule="auto"/>
        <w:jc w:val="both"/>
        <w:rPr>
          <w:rtl/>
        </w:rPr>
      </w:pPr>
      <w:r w:rsidRPr="00E07FAB">
        <w:rPr>
          <w:rtl/>
        </w:rPr>
        <w:t>המשיב ימציא 11 המחאות דחויות על הסכום הנ"ל כאשר מועד ההמחאה הראשונה יהיה מ- 1.11.23.</w:t>
      </w:r>
    </w:p>
    <w:p w:rsidR="00A53711" w:rsidRPr="00E07FAB" w:rsidRDefault="00A53711" w:rsidP="00A53711">
      <w:pPr>
        <w:spacing w:line="360" w:lineRule="auto"/>
        <w:jc w:val="both"/>
        <w:rPr>
          <w:rtl/>
        </w:rPr>
      </w:pPr>
      <w:r w:rsidRPr="00E07FAB">
        <w:rPr>
          <w:rtl/>
        </w:rPr>
        <w:t xml:space="preserve">אנו מבקשים שביהמ"ש יתן לכך תוקף של פסק דין. </w:t>
      </w:r>
    </w:p>
    <w:p w:rsidR="00A53711" w:rsidRPr="00E07FAB" w:rsidRDefault="00A53711" w:rsidP="00A53711">
      <w:pPr>
        <w:spacing w:line="360" w:lineRule="auto"/>
        <w:jc w:val="center"/>
        <w:rPr>
          <w:rFonts w:ascii="Arial" w:hAnsi="Arial"/>
          <w:b/>
          <w:bCs/>
          <w:sz w:val="28"/>
          <w:szCs w:val="28"/>
          <w:u w:val="single"/>
          <w:rtl/>
        </w:rPr>
      </w:pPr>
      <w:bookmarkStart w:id="3" w:name="PsakDin"/>
      <w:r w:rsidRPr="00E07FAB">
        <w:rPr>
          <w:rFonts w:ascii="Arial" w:hAnsi="Arial"/>
          <w:b/>
          <w:bCs/>
          <w:sz w:val="28"/>
          <w:szCs w:val="28"/>
          <w:u w:val="single"/>
          <w:rtl/>
        </w:rPr>
        <w:t>פסק דין</w:t>
      </w:r>
    </w:p>
    <w:bookmarkEnd w:id="3"/>
    <w:p w:rsidR="00A53711" w:rsidRDefault="00A53711" w:rsidP="00A53711">
      <w:pPr>
        <w:spacing w:line="360" w:lineRule="auto"/>
        <w:rPr>
          <w:rtl/>
        </w:rPr>
      </w:pPr>
      <w:r>
        <w:rPr>
          <w:rtl/>
        </w:rPr>
        <w:t>אנו נותנים תוקף של פסק דין בערעור להסכמות הצדדים שלעיל, וללא צו להוצאות.</w:t>
      </w:r>
    </w:p>
    <w:p w:rsidR="00A53711" w:rsidRDefault="00A53711" w:rsidP="0019101E">
      <w:pPr>
        <w:spacing w:line="360" w:lineRule="auto"/>
        <w:rPr>
          <w:rtl/>
        </w:rPr>
      </w:pPr>
      <w:r>
        <w:rPr>
          <w:rtl/>
        </w:rPr>
        <w:t>הערותינו שעל בסיסן ניהלו הצדדים שיח, באו על רקע בעיות מסוימות שראינו בנימוקי פסק הדין קמא ושאותן הצפנו בפני באי-הכוח.</w:t>
      </w:r>
    </w:p>
    <w:p w:rsidR="00A53711" w:rsidRDefault="00A53711" w:rsidP="00A53711">
      <w:pPr>
        <w:spacing w:line="360" w:lineRule="auto"/>
        <w:rPr>
          <w:rtl/>
        </w:rPr>
      </w:pPr>
      <w:r>
        <w:rPr>
          <w:rtl/>
        </w:rPr>
        <w:t>נוסיף הערה ואולי המלצה לממונה על שוק ההוון שמא יש מקום לשקול עדכון החוזר מ</w:t>
      </w:r>
      <w:bookmarkStart w:id="4" w:name="Seif1"/>
      <w:r>
        <w:rPr>
          <w:rtl/>
        </w:rPr>
        <w:t xml:space="preserve">ס' </w:t>
      </w:r>
      <w:bookmarkEnd w:id="4"/>
      <w:r>
        <w:rPr>
          <w:rtl/>
        </w:rPr>
        <w:t>2014-1-6 ביחס לדרכי ההבאה לידיעת המבוטח של תזכורת בדבר הגעת המועד לחידוש הביטוח, כאשר בעידן הנוכחי קיימות דרכי התקשרות נוספות מעבר למש</w:t>
      </w:r>
      <w:bookmarkStart w:id="5" w:name="Seif2"/>
      <w:r>
        <w:rPr>
          <w:rtl/>
        </w:rPr>
        <w:t>לוח דואר</w:t>
      </w:r>
      <w:bookmarkEnd w:id="5"/>
      <w:r>
        <w:rPr>
          <w:rtl/>
        </w:rPr>
        <w:t>.</w:t>
      </w:r>
    </w:p>
    <w:p w:rsidR="00A53711" w:rsidRDefault="00A53711" w:rsidP="00A53711">
      <w:pPr>
        <w:spacing w:line="360" w:lineRule="auto"/>
        <w:rPr>
          <w:rtl/>
        </w:rPr>
      </w:pPr>
      <w:r>
        <w:rPr>
          <w:rtl/>
        </w:rPr>
        <w:t xml:space="preserve">נודה למזכירות אם תעביר העתק פסק הדין לממונה על שוק ההון בכתובת קפלן 1 ירושלים. </w:t>
      </w:r>
    </w:p>
    <w:p w:rsidR="00A53711" w:rsidRPr="00E07FAB" w:rsidRDefault="00A53711" w:rsidP="00110E89">
      <w:pPr>
        <w:spacing w:line="360" w:lineRule="auto"/>
        <w:rPr>
          <w:color w:val="FFFFFF"/>
          <w:sz w:val="2"/>
          <w:szCs w:val="2"/>
          <w:rtl/>
        </w:rPr>
      </w:pPr>
      <w:bookmarkStart w:id="6" w:name="Nitan"/>
      <w:r>
        <w:rPr>
          <w:b/>
          <w:bCs/>
          <w:rtl/>
        </w:rPr>
        <w:t xml:space="preserve">ניתן והודע היום י"ב תשרי תשפ"ד, 27/09/2023 במעמד הנוכחים. </w:t>
      </w:r>
      <w:bookmarkEnd w:id="6"/>
      <w:r w:rsidRPr="00E07FAB">
        <w:rPr>
          <w:color w:val="FFFFFF"/>
          <w:sz w:val="2"/>
          <w:szCs w:val="2"/>
          <w:rtl/>
        </w:rPr>
        <w:t>371</w:t>
      </w:r>
    </w:p>
    <w:tbl>
      <w:tblPr>
        <w:tblpPr w:leftFromText="180" w:rightFromText="180" w:vertAnchor="text" w:horzAnchor="margin" w:tblpXSpec="center" w:tblpY="35"/>
        <w:bidiVisual/>
        <w:tblW w:w="8673" w:type="dxa"/>
        <w:tblLook w:val="01E0" w:firstRow="1" w:lastRow="1" w:firstColumn="1" w:lastColumn="1" w:noHBand="0" w:noVBand="0"/>
      </w:tblPr>
      <w:tblGrid>
        <w:gridCol w:w="2891"/>
        <w:gridCol w:w="2891"/>
        <w:gridCol w:w="2891"/>
      </w:tblGrid>
      <w:tr w:rsidR="00A53711" w:rsidRPr="00BB42A4" w:rsidTr="008F5E68">
        <w:tc>
          <w:tcPr>
            <w:tcW w:w="2891" w:type="dxa"/>
            <w:vAlign w:val="center"/>
          </w:tcPr>
          <w:p w:rsidR="00A53711" w:rsidRPr="00E07FAB" w:rsidRDefault="00A53711" w:rsidP="008F5E68">
            <w:pPr>
              <w:jc w:val="right"/>
              <w:rPr>
                <w:rFonts w:cs="Times New Roman"/>
                <w:b/>
                <w:bCs/>
                <w:color w:val="FFFFFF"/>
                <w:sz w:val="2"/>
                <w:szCs w:val="2"/>
              </w:rPr>
            </w:pPr>
            <w:r w:rsidRPr="00E07FAB">
              <w:rPr>
                <w:rFonts w:cs="Times New Roman"/>
                <w:b/>
                <w:bCs/>
                <w:color w:val="FFFFFF"/>
                <w:sz w:val="2"/>
                <w:szCs w:val="2"/>
                <w:rtl/>
              </w:rPr>
              <w:t>54678313</w:t>
            </w:r>
          </w:p>
        </w:tc>
        <w:tc>
          <w:tcPr>
            <w:tcW w:w="2891" w:type="dxa"/>
            <w:vAlign w:val="center"/>
          </w:tcPr>
          <w:p w:rsidR="00A53711" w:rsidRPr="002B47E6" w:rsidRDefault="00A53711" w:rsidP="008F5E68">
            <w:pPr>
              <w:jc w:val="right"/>
              <w:rPr>
                <w:rFonts w:cs="Times New Roman"/>
                <w:b/>
                <w:bCs/>
              </w:rPr>
            </w:pPr>
          </w:p>
        </w:tc>
        <w:tc>
          <w:tcPr>
            <w:tcW w:w="2891" w:type="dxa"/>
            <w:vAlign w:val="center"/>
          </w:tcPr>
          <w:p w:rsidR="00A53711" w:rsidRPr="002B47E6" w:rsidRDefault="00A53711" w:rsidP="008F5E68">
            <w:pPr>
              <w:jc w:val="right"/>
              <w:rPr>
                <w:rFonts w:cs="Times New Roman"/>
                <w:b/>
                <w:bCs/>
              </w:rPr>
            </w:pPr>
          </w:p>
        </w:tc>
      </w:tr>
      <w:tr w:rsidR="00A53711" w:rsidRPr="00BB42A4" w:rsidTr="008F5E68">
        <w:tc>
          <w:tcPr>
            <w:tcW w:w="2891" w:type="dxa"/>
            <w:vAlign w:val="center"/>
          </w:tcPr>
          <w:p w:rsidR="00A53711" w:rsidRPr="002B47E6" w:rsidRDefault="00A53711" w:rsidP="008F5E68">
            <w:pPr>
              <w:spacing w:line="360" w:lineRule="auto"/>
              <w:jc w:val="center"/>
              <w:rPr>
                <w:b/>
                <w:bCs/>
                <w:rtl/>
              </w:rPr>
            </w:pPr>
            <w:r w:rsidRPr="002B47E6">
              <w:rPr>
                <w:b/>
                <w:bCs/>
                <w:rtl/>
              </w:rPr>
              <w:t>אריאל  ואגו, סגן נשיאה</w:t>
            </w:r>
          </w:p>
        </w:tc>
        <w:tc>
          <w:tcPr>
            <w:tcW w:w="2891" w:type="dxa"/>
            <w:vAlign w:val="center"/>
          </w:tcPr>
          <w:p w:rsidR="00A53711" w:rsidRPr="002B47E6" w:rsidRDefault="00A53711" w:rsidP="008F5E68">
            <w:pPr>
              <w:spacing w:line="360" w:lineRule="auto"/>
              <w:jc w:val="center"/>
              <w:rPr>
                <w:b/>
                <w:bCs/>
                <w:rtl/>
              </w:rPr>
            </w:pPr>
            <w:r w:rsidRPr="002B47E6">
              <w:rPr>
                <w:b/>
                <w:bCs/>
                <w:rtl/>
              </w:rPr>
              <w:t>אריאל חזק, שופט</w:t>
            </w:r>
          </w:p>
        </w:tc>
        <w:tc>
          <w:tcPr>
            <w:tcW w:w="2891" w:type="dxa"/>
            <w:vAlign w:val="center"/>
          </w:tcPr>
          <w:p w:rsidR="00A53711" w:rsidRPr="002B47E6" w:rsidRDefault="00A53711" w:rsidP="008F5E68">
            <w:pPr>
              <w:spacing w:line="360" w:lineRule="auto"/>
              <w:jc w:val="center"/>
              <w:rPr>
                <w:b/>
                <w:bCs/>
                <w:rtl/>
              </w:rPr>
            </w:pPr>
            <w:r w:rsidRPr="002B47E6">
              <w:rPr>
                <w:b/>
                <w:bCs/>
                <w:rtl/>
              </w:rPr>
              <w:t>פאני גילת כהן, שופטת</w:t>
            </w:r>
          </w:p>
        </w:tc>
      </w:tr>
    </w:tbl>
    <w:p w:rsidR="00A541FB" w:rsidRDefault="00A541FB" w:rsidP="00A541FB">
      <w:pPr>
        <w:suppressLineNumbers/>
        <w:rPr>
          <w:rFonts w:ascii="Arial (W1)" w:hAnsi="Arial (W1)"/>
          <w:sz w:val="28"/>
          <w:szCs w:val="28"/>
          <w:rtl/>
        </w:rPr>
      </w:pPr>
    </w:p>
    <w:p w:rsidR="005643FC" w:rsidRDefault="005643FC" w:rsidP="003E1D00">
      <w:pPr>
        <w:suppressLineNumbers/>
        <w:tabs>
          <w:tab w:val="left" w:pos="8928"/>
        </w:tabs>
        <w:spacing w:before="120" w:after="120" w:line="240" w:lineRule="exact"/>
        <w:ind w:left="108"/>
        <w:rPr>
          <w:b/>
          <w:bCs/>
          <w:sz w:val="26"/>
          <w:szCs w:val="26"/>
          <w:rtl/>
        </w:rPr>
      </w:pPr>
    </w:p>
    <w:p w:rsidR="005643FC" w:rsidRDefault="005643FC" w:rsidP="003E1D00">
      <w:pPr>
        <w:suppressLineNumbers/>
        <w:tabs>
          <w:tab w:val="left" w:pos="8928"/>
        </w:tabs>
        <w:spacing w:before="120" w:after="120" w:line="240" w:lineRule="exact"/>
        <w:ind w:left="108"/>
        <w:rPr>
          <w:b/>
          <w:bCs/>
          <w:sz w:val="26"/>
          <w:szCs w:val="26"/>
          <w:rtl/>
        </w:rPr>
      </w:pPr>
    </w:p>
    <w:p w:rsidR="00F85F61" w:rsidRPr="001D52B7" w:rsidRDefault="00F85F61" w:rsidP="00F85F61">
      <w:pPr>
        <w:pStyle w:val="a3"/>
        <w:jc w:val="center"/>
        <w:rPr>
          <w:rFonts w:ascii="Tahoma" w:hAnsi="Tahoma" w:cs="Tahoma"/>
          <w:noProof w:val="0"/>
          <w:color w:val="000080"/>
          <w:rtl/>
        </w:rPr>
      </w:pPr>
      <w:bookmarkStart w:id="7" w:name="_GoBack"/>
      <w:bookmarkEnd w:id="7"/>
      <w:r w:rsidRPr="001D52B7">
        <w:rPr>
          <w:rFonts w:ascii="Tahoma" w:hAnsi="Tahoma" w:cs="Tahoma"/>
          <w:b/>
          <w:bCs/>
          <w:noProof w:val="0"/>
          <w:color w:val="000080"/>
          <w:rtl/>
        </w:rPr>
        <w:lastRenderedPageBreak/>
        <w:t>בית משפט השלום בבאר שבע</w:t>
      </w:r>
    </w:p>
    <w:p w:rsidR="00F85F61" w:rsidRPr="001D52B7" w:rsidRDefault="00F85F61" w:rsidP="00F85F61">
      <w:pPr>
        <w:spacing w:before="120" w:after="120" w:line="240" w:lineRule="exact"/>
        <w:rPr>
          <w:b/>
          <w:bCs/>
          <w:noProof w:val="0"/>
          <w:sz w:val="26"/>
          <w:szCs w:val="26"/>
          <w:rtl/>
        </w:rPr>
      </w:pPr>
      <w:r w:rsidRPr="001D52B7">
        <w:rPr>
          <w:b/>
          <w:bCs/>
          <w:noProof w:val="0"/>
          <w:sz w:val="26"/>
          <w:szCs w:val="26"/>
          <w:rtl/>
        </w:rPr>
        <w:t xml:space="preserve">ת"א 76917-12-20 </w:t>
      </w:r>
    </w:p>
    <w:p w:rsidR="00F85F61" w:rsidRPr="001D52B7" w:rsidRDefault="00F85F61" w:rsidP="00F85F61">
      <w:pPr>
        <w:pStyle w:val="a3"/>
        <w:spacing w:before="120" w:after="120" w:line="240" w:lineRule="exact"/>
        <w:rPr>
          <w:noProof w:val="0"/>
          <w:rtl/>
        </w:rPr>
      </w:pPr>
    </w:p>
    <w:tbl>
      <w:tblPr>
        <w:bidiVisual/>
        <w:tblW w:w="8820" w:type="dxa"/>
        <w:jc w:val="center"/>
        <w:tblLook w:val="01E0" w:firstRow="1" w:lastRow="1" w:firstColumn="1" w:lastColumn="1" w:noHBand="0" w:noVBand="0"/>
      </w:tblPr>
      <w:tblGrid>
        <w:gridCol w:w="743"/>
        <w:gridCol w:w="2506"/>
        <w:gridCol w:w="5571"/>
      </w:tblGrid>
      <w:tr w:rsidR="00F85F61" w:rsidRPr="001D52B7" w:rsidTr="00F85F61">
        <w:trPr>
          <w:jc w:val="center"/>
        </w:trPr>
        <w:tc>
          <w:tcPr>
            <w:tcW w:w="743" w:type="dxa"/>
            <w:shd w:val="clear" w:color="auto" w:fill="auto"/>
          </w:tcPr>
          <w:p w:rsidR="00F85F61" w:rsidRPr="001D52B7" w:rsidRDefault="00F85F61" w:rsidP="00F85F61">
            <w:pPr>
              <w:spacing w:before="120" w:after="120" w:line="240" w:lineRule="exact"/>
              <w:jc w:val="both"/>
              <w:rPr>
                <w:rFonts w:ascii="Arial (W1)" w:hAnsi="Arial (W1)"/>
                <w:b/>
                <w:bCs/>
                <w:sz w:val="26"/>
                <w:szCs w:val="26"/>
              </w:rPr>
            </w:pPr>
            <w:r w:rsidRPr="001D52B7">
              <w:rPr>
                <w:rFonts w:hint="cs"/>
                <w:b/>
                <w:bCs/>
                <w:sz w:val="26"/>
                <w:szCs w:val="26"/>
                <w:rtl/>
              </w:rPr>
              <w:t xml:space="preserve">בפני </w:t>
            </w:r>
          </w:p>
        </w:tc>
        <w:tc>
          <w:tcPr>
            <w:tcW w:w="8077" w:type="dxa"/>
            <w:gridSpan w:val="2"/>
            <w:shd w:val="clear" w:color="auto" w:fill="auto"/>
          </w:tcPr>
          <w:p w:rsidR="00F85F61" w:rsidRPr="001D52B7" w:rsidRDefault="00F85F61" w:rsidP="00F85F61">
            <w:pPr>
              <w:spacing w:before="120" w:after="120" w:line="240" w:lineRule="exact"/>
              <w:rPr>
                <w:b/>
                <w:bCs/>
                <w:sz w:val="26"/>
                <w:szCs w:val="26"/>
              </w:rPr>
            </w:pPr>
            <w:r w:rsidRPr="001D52B7">
              <w:rPr>
                <w:rFonts w:hint="cs"/>
                <w:b/>
                <w:bCs/>
                <w:sz w:val="26"/>
                <w:szCs w:val="26"/>
                <w:rtl/>
              </w:rPr>
              <w:t>כב' השופט יורם ברוזה, סגן הנשיא</w:t>
            </w:r>
          </w:p>
        </w:tc>
      </w:tr>
      <w:tr w:rsidR="00F85F61" w:rsidRPr="001D52B7" w:rsidTr="00F85F61">
        <w:trPr>
          <w:jc w:val="center"/>
        </w:trPr>
        <w:tc>
          <w:tcPr>
            <w:tcW w:w="3249" w:type="dxa"/>
            <w:gridSpan w:val="2"/>
            <w:shd w:val="clear" w:color="auto" w:fill="auto"/>
          </w:tcPr>
          <w:p w:rsidR="00F85F61" w:rsidRPr="001D52B7" w:rsidRDefault="00F85F61" w:rsidP="00F85F61">
            <w:pPr>
              <w:spacing w:before="120" w:after="120" w:line="240" w:lineRule="exact"/>
              <w:rPr>
                <w:rFonts w:ascii="Arial (W1)" w:hAnsi="Arial (W1)"/>
                <w:b/>
                <w:bCs/>
                <w:noProof w:val="0"/>
                <w:sz w:val="26"/>
                <w:szCs w:val="26"/>
              </w:rPr>
            </w:pPr>
            <w:r w:rsidRPr="001D52B7">
              <w:rPr>
                <w:rFonts w:hint="cs"/>
                <w:b/>
                <w:bCs/>
                <w:noProof w:val="0"/>
                <w:sz w:val="26"/>
                <w:szCs w:val="26"/>
                <w:rtl/>
              </w:rPr>
              <w:t>תובע</w:t>
            </w:r>
          </w:p>
        </w:tc>
        <w:tc>
          <w:tcPr>
            <w:tcW w:w="5571" w:type="dxa"/>
            <w:shd w:val="clear" w:color="auto" w:fill="auto"/>
          </w:tcPr>
          <w:p w:rsidR="00F85F61" w:rsidRPr="001D52B7" w:rsidRDefault="00F85F61" w:rsidP="00F85F61">
            <w:pPr>
              <w:spacing w:before="120" w:after="120" w:line="240" w:lineRule="exact"/>
              <w:rPr>
                <w:rFonts w:ascii="Arial (W1)" w:hAnsi="Arial (W1)"/>
                <w:b/>
                <w:bCs/>
                <w:noProof w:val="0"/>
                <w:sz w:val="26"/>
                <w:szCs w:val="26"/>
              </w:rPr>
            </w:pPr>
            <w:r w:rsidRPr="001D52B7">
              <w:rPr>
                <w:rFonts w:hint="cs"/>
                <w:b/>
                <w:bCs/>
                <w:noProof w:val="0"/>
                <w:sz w:val="26"/>
                <w:szCs w:val="26"/>
                <w:rtl/>
              </w:rPr>
              <w:t>פלוני</w:t>
            </w:r>
            <w:r w:rsidRPr="001D52B7">
              <w:rPr>
                <w:b/>
                <w:bCs/>
                <w:noProof w:val="0"/>
                <w:sz w:val="26"/>
                <w:szCs w:val="26"/>
                <w:rtl/>
              </w:rPr>
              <w:br/>
            </w:r>
            <w:r w:rsidRPr="001D52B7">
              <w:rPr>
                <w:rFonts w:hint="cs"/>
                <w:b/>
                <w:bCs/>
                <w:sz w:val="26"/>
                <w:szCs w:val="26"/>
                <w:rtl/>
              </w:rPr>
              <w:t>ע"י עו"ד גיא אשר</w:t>
            </w:r>
          </w:p>
        </w:tc>
      </w:tr>
      <w:tr w:rsidR="00F85F61" w:rsidRPr="001D52B7" w:rsidTr="00F85F61">
        <w:trPr>
          <w:jc w:val="center"/>
        </w:trPr>
        <w:tc>
          <w:tcPr>
            <w:tcW w:w="8820" w:type="dxa"/>
            <w:gridSpan w:val="3"/>
            <w:shd w:val="clear" w:color="auto" w:fill="auto"/>
          </w:tcPr>
          <w:p w:rsidR="00F85F61" w:rsidRPr="00274420" w:rsidRDefault="00F85F61" w:rsidP="00F85F61">
            <w:pPr>
              <w:spacing w:before="240" w:after="240" w:line="240" w:lineRule="exact"/>
              <w:jc w:val="center"/>
              <w:rPr>
                <w:b/>
                <w:bCs/>
                <w:noProof w:val="0"/>
                <w:sz w:val="26"/>
                <w:szCs w:val="26"/>
              </w:rPr>
            </w:pPr>
            <w:r w:rsidRPr="001D52B7">
              <w:rPr>
                <w:rFonts w:hint="cs"/>
                <w:b/>
                <w:bCs/>
                <w:noProof w:val="0"/>
                <w:sz w:val="26"/>
                <w:szCs w:val="26"/>
                <w:rtl/>
              </w:rPr>
              <w:t>נגד</w:t>
            </w:r>
          </w:p>
        </w:tc>
      </w:tr>
      <w:tr w:rsidR="00F85F61" w:rsidRPr="001D52B7" w:rsidTr="00F85F61">
        <w:trPr>
          <w:jc w:val="center"/>
        </w:trPr>
        <w:tc>
          <w:tcPr>
            <w:tcW w:w="3249" w:type="dxa"/>
            <w:gridSpan w:val="2"/>
            <w:shd w:val="clear" w:color="auto" w:fill="auto"/>
          </w:tcPr>
          <w:p w:rsidR="00F85F61" w:rsidRPr="001D52B7" w:rsidRDefault="00F85F61" w:rsidP="00F85F61">
            <w:pPr>
              <w:spacing w:before="120" w:after="120" w:line="240" w:lineRule="exact"/>
              <w:rPr>
                <w:rFonts w:ascii="Arial (W1)" w:hAnsi="Arial (W1)"/>
                <w:b/>
                <w:bCs/>
                <w:noProof w:val="0"/>
                <w:sz w:val="26"/>
                <w:szCs w:val="26"/>
              </w:rPr>
            </w:pPr>
            <w:r w:rsidRPr="001D52B7">
              <w:rPr>
                <w:rFonts w:hint="cs"/>
                <w:b/>
                <w:bCs/>
                <w:noProof w:val="0"/>
                <w:sz w:val="26"/>
                <w:szCs w:val="26"/>
                <w:rtl/>
              </w:rPr>
              <w:t>נתבעת</w:t>
            </w:r>
          </w:p>
        </w:tc>
        <w:tc>
          <w:tcPr>
            <w:tcW w:w="5571" w:type="dxa"/>
            <w:shd w:val="clear" w:color="auto" w:fill="auto"/>
          </w:tcPr>
          <w:p w:rsidR="00F85F61" w:rsidRPr="001D52B7" w:rsidRDefault="00F85F61" w:rsidP="00F85F61">
            <w:pPr>
              <w:spacing w:before="120" w:after="120" w:line="240" w:lineRule="exact"/>
              <w:rPr>
                <w:rFonts w:ascii="Arial (W1)" w:hAnsi="Arial (W1)"/>
                <w:b/>
                <w:bCs/>
                <w:noProof w:val="0"/>
                <w:sz w:val="26"/>
                <w:szCs w:val="26"/>
              </w:rPr>
            </w:pPr>
            <w:r w:rsidRPr="001D52B7">
              <w:rPr>
                <w:rFonts w:hint="cs"/>
                <w:b/>
                <w:bCs/>
                <w:noProof w:val="0"/>
                <w:sz w:val="26"/>
                <w:szCs w:val="26"/>
                <w:rtl/>
              </w:rPr>
              <w:t>התאגיד המנהל של המאגר לביטוח רכב חובה ("הפול")</w:t>
            </w:r>
            <w:r w:rsidRPr="001D52B7">
              <w:rPr>
                <w:b/>
                <w:bCs/>
                <w:sz w:val="26"/>
                <w:szCs w:val="26"/>
                <w:rtl/>
              </w:rPr>
              <w:br/>
            </w:r>
            <w:r w:rsidRPr="001D52B7">
              <w:rPr>
                <w:rFonts w:hint="cs"/>
                <w:b/>
                <w:bCs/>
                <w:sz w:val="26"/>
                <w:szCs w:val="26"/>
                <w:rtl/>
              </w:rPr>
              <w:t>ע"י ב"כ עו"ד מאיר עליאש</w:t>
            </w:r>
          </w:p>
        </w:tc>
      </w:tr>
    </w:tbl>
    <w:p w:rsidR="004E5902" w:rsidRPr="00E406EB" w:rsidRDefault="008538D8" w:rsidP="003E1D00">
      <w:pPr>
        <w:suppressLineNumbers/>
        <w:tabs>
          <w:tab w:val="left" w:pos="8928"/>
        </w:tabs>
        <w:spacing w:before="120" w:after="120" w:line="240" w:lineRule="exact"/>
        <w:ind w:left="108"/>
        <w:rPr>
          <w:b/>
          <w:bCs/>
          <w:sz w:val="26"/>
          <w:szCs w:val="26"/>
          <w:rtl/>
        </w:rPr>
      </w:pPr>
      <w:r>
        <w:rPr>
          <w:b/>
          <w:bCs/>
          <w:sz w:val="26"/>
          <w:szCs w:val="26"/>
          <w:rtl/>
        </w:rPr>
        <w:tab/>
      </w:r>
    </w:p>
    <w:p w:rsidR="00A541FB" w:rsidRPr="009931FD" w:rsidRDefault="009931FD" w:rsidP="009931FD">
      <w:pPr>
        <w:spacing w:line="360" w:lineRule="auto"/>
        <w:jc w:val="center"/>
        <w:rPr>
          <w:rFonts w:ascii="Arial" w:hAnsi="Arial"/>
          <w:b/>
          <w:bCs/>
          <w:noProof w:val="0"/>
          <w:rtl/>
        </w:rPr>
      </w:pPr>
      <w:r w:rsidRPr="009931FD">
        <w:rPr>
          <w:rFonts w:ascii="Arial" w:hAnsi="Arial" w:hint="cs"/>
          <w:b/>
          <w:bCs/>
          <w:noProof w:val="0"/>
          <w:rtl/>
        </w:rPr>
        <w:t>פסק דין</w:t>
      </w: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 xml:space="preserve">לפני תביעה לתשלום פיצוי לתובע בעקבות תאונת דרכים שארעה לו, לטענתו, ביום 1.6.18 במהלך רכיבה על אופנוע </w:t>
      </w:r>
      <w:proofErr w:type="spellStart"/>
      <w:r>
        <w:rPr>
          <w:rFonts w:ascii="David" w:hAnsi="David" w:cs="David"/>
          <w:sz w:val="24"/>
          <w:szCs w:val="24"/>
          <w:rtl/>
        </w:rPr>
        <w:t>מ.ר</w:t>
      </w:r>
      <w:proofErr w:type="spellEnd"/>
      <w:r>
        <w:rPr>
          <w:rFonts w:ascii="David" w:hAnsi="David" w:cs="David"/>
          <w:sz w:val="24"/>
          <w:szCs w:val="24"/>
          <w:rtl/>
        </w:rPr>
        <w:t>. 85-443-30 (להלן:- "</w:t>
      </w:r>
      <w:r>
        <w:rPr>
          <w:rFonts w:ascii="Miriam" w:hAnsi="Miriam" w:cs="Miriam"/>
          <w:sz w:val="24"/>
          <w:szCs w:val="24"/>
          <w:rtl/>
        </w:rPr>
        <w:t>האופנוע</w:t>
      </w:r>
      <w:r>
        <w:rPr>
          <w:rFonts w:ascii="David" w:hAnsi="David" w:cs="David"/>
          <w:sz w:val="24"/>
          <w:szCs w:val="24"/>
          <w:rtl/>
        </w:rPr>
        <w:t xml:space="preserve">") אשר היה שייך לו. </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r>
        <w:rPr>
          <w:rFonts w:ascii="David" w:hAnsi="David" w:cs="David"/>
          <w:sz w:val="24"/>
          <w:szCs w:val="24"/>
          <w:rtl/>
        </w:rPr>
        <w:tab/>
        <w:t xml:space="preserve">שני הצדדים מסכימים כי הנתבעת הנפיקה פוליסת ביטוח שהייתה בתוקף עד ליום 11.5.18, ועל כן לא </w:t>
      </w:r>
      <w:proofErr w:type="spellStart"/>
      <w:r>
        <w:rPr>
          <w:rFonts w:ascii="David" w:hAnsi="David" w:cs="David"/>
          <w:sz w:val="24"/>
          <w:szCs w:val="24"/>
          <w:rtl/>
        </w:rPr>
        <w:t>היתה</w:t>
      </w:r>
      <w:proofErr w:type="spellEnd"/>
      <w:r>
        <w:rPr>
          <w:rFonts w:ascii="David" w:hAnsi="David" w:cs="David"/>
          <w:sz w:val="24"/>
          <w:szCs w:val="24"/>
          <w:rtl/>
        </w:rPr>
        <w:t xml:space="preserve"> בתוקף ביום התאונה. </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r>
        <w:rPr>
          <w:rFonts w:ascii="David" w:hAnsi="David" w:cs="David"/>
          <w:sz w:val="24"/>
          <w:szCs w:val="24"/>
          <w:rtl/>
        </w:rPr>
        <w:tab/>
        <w:t xml:space="preserve">טענת התובע הינה כי יש לחייב את הנתבעת באחריות לתשלום הפיצוי בהתאם להוראות </w:t>
      </w:r>
      <w:r>
        <w:rPr>
          <w:rFonts w:ascii="Miriam" w:hAnsi="Miriam" w:cs="Miriam"/>
          <w:sz w:val="24"/>
          <w:szCs w:val="24"/>
          <w:rtl/>
        </w:rPr>
        <w:t xml:space="preserve">פקודת </w:t>
      </w:r>
      <w:proofErr w:type="spellStart"/>
      <w:r>
        <w:rPr>
          <w:rFonts w:ascii="Miriam" w:hAnsi="Miriam" w:cs="Miriam"/>
          <w:sz w:val="24"/>
          <w:szCs w:val="24"/>
          <w:rtl/>
        </w:rPr>
        <w:t>הנזיקין</w:t>
      </w:r>
      <w:proofErr w:type="spellEnd"/>
      <w:r>
        <w:rPr>
          <w:rFonts w:ascii="Miriam" w:hAnsi="Miriam" w:cs="Miriam"/>
          <w:sz w:val="24"/>
          <w:szCs w:val="24"/>
          <w:rtl/>
        </w:rPr>
        <w:t xml:space="preserve"> [נוסח חדש]</w:t>
      </w:r>
      <w:r>
        <w:rPr>
          <w:rFonts w:ascii="David" w:hAnsi="David" w:cs="David"/>
          <w:sz w:val="24"/>
          <w:szCs w:val="24"/>
          <w:rtl/>
        </w:rPr>
        <w:t xml:space="preserve">, הואיל והיא לא הודיעה לו, לטענתו, על סיום התוקף של פוליסת הביטוח בניגוד </w:t>
      </w:r>
      <w:r>
        <w:rPr>
          <w:rFonts w:ascii="Miriam" w:hAnsi="Miriam" w:cs="Miriam"/>
          <w:sz w:val="24"/>
          <w:szCs w:val="24"/>
          <w:rtl/>
        </w:rPr>
        <w:t>לחוזר המפקחת על הביטוח מס' 2014-2-6</w:t>
      </w:r>
      <w:r>
        <w:rPr>
          <w:rFonts w:ascii="David" w:hAnsi="David" w:cs="David"/>
          <w:sz w:val="24"/>
          <w:szCs w:val="24"/>
          <w:rtl/>
        </w:rPr>
        <w:t xml:space="preserve"> מיום 30.9.14 (להלן:- "</w:t>
      </w:r>
      <w:r>
        <w:rPr>
          <w:rFonts w:ascii="Miriam" w:hAnsi="Miriam" w:cs="Miriam"/>
          <w:sz w:val="24"/>
          <w:szCs w:val="24"/>
          <w:rtl/>
        </w:rPr>
        <w:t>חוזר 2014</w:t>
      </w:r>
      <w:r>
        <w:rPr>
          <w:rFonts w:ascii="David" w:hAnsi="David" w:cs="David"/>
          <w:sz w:val="24"/>
          <w:szCs w:val="24"/>
          <w:rtl/>
        </w:rPr>
        <w:t>").</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r>
        <w:rPr>
          <w:rFonts w:ascii="David" w:hAnsi="David" w:cs="David"/>
          <w:sz w:val="24"/>
          <w:szCs w:val="24"/>
          <w:rtl/>
        </w:rPr>
        <w:tab/>
        <w:t>הנתבעת טוענת כי שלחה הודעה כנדרש, ועל כן אין לה כל חבות. לחלופין היא טוענת לאשם תורם מכריע של התובע.</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Miriam" w:hAnsi="Miriam" w:cs="Miriam"/>
          <w:sz w:val="24"/>
          <w:szCs w:val="24"/>
          <w:rtl/>
        </w:rPr>
      </w:pPr>
      <w:r>
        <w:rPr>
          <w:rFonts w:ascii="Miriam" w:hAnsi="Miriam" w:cs="Miriam"/>
          <w:sz w:val="24"/>
          <w:szCs w:val="24"/>
          <w:rtl/>
        </w:rPr>
        <w:t>השלשלות האירועים</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ביום 8.5.17 רכש התובע את האופנוע מצד ג', התובע ניגש לסניף הנתבעת בבאר שבע ורכש ביטוח חובה החל מיום 11.5.17 ועד ליום 11.5.18 (ראה נספח 2 לתיק מוצגי הנתבעת ונספח 2 לתיק מוצגי התובע).</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ביום א' 3.6.18, הגיע התובע לבית חולים סורוקה, המרפאה לכירורגיה פלסטית, ודיווח כי יומיים קודם לכן (יום ו', 1.6.18) נפגע ברגלו מהגלגל של האופנוע. ברגלו הימנית נמצאה כוויה בדרגה 2, כתוצאה משפשוף, בכף הרגל. התובע החל טיפול רפואי, שכלל הטריה עם שתל עור וכן טיפול אנטיביוטי (יוער כי התובע מאובחן כחולה סוכרת  והינו מטופל באינסולין).</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התובע הגיש ביום 9.10.18 תביעה להכיר בתאונה כתאונת עבודה. המוסד לביטוח לאומי הכיר בתאונה וקבע לתובע את הנכויות הבאות:-</w:t>
      </w:r>
    </w:p>
    <w:p w:rsidR="00A541FB" w:rsidRDefault="00A541FB" w:rsidP="00A541FB">
      <w:pPr>
        <w:pStyle w:val="a9"/>
        <w:rPr>
          <w:rFonts w:ascii="David" w:hAnsi="David" w:cs="David"/>
          <w:sz w:val="24"/>
          <w:szCs w:val="24"/>
        </w:rPr>
      </w:pPr>
    </w:p>
    <w:p w:rsidR="00A541FB" w:rsidRDefault="00A541FB" w:rsidP="00A541FB">
      <w:pPr>
        <w:pStyle w:val="a9"/>
        <w:numPr>
          <w:ilvl w:val="1"/>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דמי פגיעה למשך 91 יום (עד ליום 31.8.18);</w:t>
      </w:r>
    </w:p>
    <w:p w:rsidR="00A541FB" w:rsidRDefault="00A541FB" w:rsidP="00A541FB">
      <w:pPr>
        <w:pStyle w:val="a9"/>
        <w:numPr>
          <w:ilvl w:val="1"/>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נכות זמנית בשיעור 30% עד ליום 31.12.18;</w:t>
      </w:r>
    </w:p>
    <w:p w:rsidR="00A541FB" w:rsidRDefault="00A541FB" w:rsidP="00A541FB">
      <w:pPr>
        <w:pStyle w:val="a9"/>
        <w:numPr>
          <w:ilvl w:val="1"/>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נכות זמנית של 20% עד ליום 31.5.19;</w:t>
      </w:r>
    </w:p>
    <w:p w:rsidR="00A541FB" w:rsidRDefault="00A541FB" w:rsidP="00A541FB">
      <w:pPr>
        <w:pStyle w:val="a9"/>
        <w:numPr>
          <w:ilvl w:val="1"/>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נכות צמיתה בשיעור 19% מיום 1.6.19 המורכבת מנכות בשיעור 10% בגין ההגבלה בתנועות הקרסול לפי פרט 48(3)(א) לתוספת ל</w:t>
      </w:r>
      <w:r>
        <w:rPr>
          <w:rFonts w:ascii="Miriam" w:hAnsi="Miriam" w:cs="Miriam"/>
          <w:sz w:val="24"/>
          <w:szCs w:val="24"/>
          <w:rtl/>
        </w:rPr>
        <w:t xml:space="preserve">תקנות הביטוח הלאומי (קביעת דרגת נכות לנפגעי עבודה), </w:t>
      </w:r>
      <w:proofErr w:type="spellStart"/>
      <w:r>
        <w:rPr>
          <w:rFonts w:ascii="Miriam" w:hAnsi="Miriam" w:cs="Miriam"/>
          <w:sz w:val="24"/>
          <w:szCs w:val="24"/>
          <w:rtl/>
        </w:rPr>
        <w:t>התשט"ז</w:t>
      </w:r>
      <w:proofErr w:type="spellEnd"/>
      <w:r>
        <w:rPr>
          <w:rFonts w:ascii="Miriam" w:hAnsi="Miriam" w:cs="Miriam"/>
          <w:sz w:val="24"/>
          <w:szCs w:val="24"/>
          <w:rtl/>
        </w:rPr>
        <w:t xml:space="preserve"> – 1956</w:t>
      </w:r>
      <w:r>
        <w:rPr>
          <w:rFonts w:ascii="David" w:hAnsi="David" w:cs="David"/>
          <w:sz w:val="24"/>
          <w:szCs w:val="24"/>
          <w:rtl/>
        </w:rPr>
        <w:t xml:space="preserve"> וכן נכות בגין הצלקת לפי פרט 75(1)(ב) לתוספת לתקנות.</w:t>
      </w:r>
    </w:p>
    <w:p w:rsidR="00A541FB" w:rsidRDefault="00A541FB" w:rsidP="00A541FB">
      <w:pPr>
        <w:tabs>
          <w:tab w:val="left" w:pos="567"/>
          <w:tab w:val="left" w:pos="1134"/>
          <w:tab w:val="left" w:pos="1701"/>
          <w:tab w:val="left" w:pos="2268"/>
          <w:tab w:val="left" w:pos="2835"/>
        </w:tabs>
        <w:spacing w:before="160" w:line="360" w:lineRule="auto"/>
        <w:ind w:left="567"/>
        <w:jc w:val="both"/>
        <w:rPr>
          <w:rFonts w:ascii="David" w:hAnsi="David"/>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ביום 31.12.20 הוגשה התביעה שלפני, בטענה כי קיים כיסוי ביטוחי. התביעה הוגשה בהתאם להוראות </w:t>
      </w:r>
      <w:r>
        <w:rPr>
          <w:rFonts w:ascii="Miriam" w:hAnsi="Miriam" w:cs="Miriam"/>
          <w:sz w:val="24"/>
          <w:szCs w:val="24"/>
          <w:rtl/>
        </w:rPr>
        <w:t xml:space="preserve">חוק הפיצויים לנפגעי תאונות דרכים, </w:t>
      </w:r>
      <w:proofErr w:type="spellStart"/>
      <w:r>
        <w:rPr>
          <w:rFonts w:ascii="Miriam" w:hAnsi="Miriam" w:cs="Miriam"/>
          <w:sz w:val="24"/>
          <w:szCs w:val="24"/>
          <w:rtl/>
        </w:rPr>
        <w:t>התשל"ה</w:t>
      </w:r>
      <w:proofErr w:type="spellEnd"/>
      <w:r>
        <w:rPr>
          <w:rFonts w:ascii="Miriam" w:hAnsi="Miriam" w:cs="Miriam"/>
          <w:sz w:val="24"/>
          <w:szCs w:val="24"/>
          <w:rtl/>
        </w:rPr>
        <w:t xml:space="preserve"> – 1975</w:t>
      </w:r>
      <w:r>
        <w:rPr>
          <w:rFonts w:ascii="David" w:hAnsi="David" w:cs="David"/>
          <w:sz w:val="24"/>
          <w:szCs w:val="24"/>
          <w:rtl/>
        </w:rPr>
        <w:t xml:space="preserve"> ובה נטען כי קביעת המוסד לביטוח לאומי מחייבת לפי סעיף 6ב לחוק.</w:t>
      </w: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לאחר שהנתבעת לא הגישה כתב הגנה, ניתן ביום 7.6.21 פס"ד על יסוד תצהיר של התובע (שתמך בתחשיב הנזק מטעמו). ביום 4.7.21 הגישו הצדדים בקשה מוסכמת ולפיו פסק הדין יבוטל וכתב התביעה יתוקן.</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 xml:space="preserve">ביום 27.7.21 הוגש כתב התביעה המתוקן שלפני כעת. בכתב התביעה זנח התובע את הטענה לקיומה של חבות לפצות אותו מכוח חוק הפיצויים, ונטען לחבות של הנתבעת מכוח פקודת </w:t>
      </w:r>
      <w:proofErr w:type="spellStart"/>
      <w:r>
        <w:rPr>
          <w:rFonts w:ascii="David" w:hAnsi="David" w:cs="David"/>
          <w:sz w:val="24"/>
          <w:szCs w:val="24"/>
          <w:rtl/>
        </w:rPr>
        <w:t>הנזיקין</w:t>
      </w:r>
      <w:proofErr w:type="spellEnd"/>
      <w:r>
        <w:rPr>
          <w:rFonts w:ascii="David" w:hAnsi="David" w:cs="David"/>
          <w:sz w:val="24"/>
          <w:szCs w:val="24"/>
          <w:rtl/>
        </w:rPr>
        <w:t>, וזאת הואיל והיא לא הודיעה לו, כנדרש, כי הפוליסה מסתיימת.</w:t>
      </w:r>
    </w:p>
    <w:p w:rsidR="00A541FB" w:rsidRDefault="00A541FB" w:rsidP="00A541FB">
      <w:pPr>
        <w:pStyle w:val="a9"/>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r>
        <w:rPr>
          <w:rFonts w:ascii="David" w:hAnsi="David" w:cs="David"/>
          <w:sz w:val="24"/>
          <w:szCs w:val="24"/>
          <w:rtl/>
        </w:rPr>
        <w:tab/>
        <w:t xml:space="preserve">הנתבעת הגישה כתב הגנה ובו היא טענה כי היא שלחה הודעה כנדרש.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בהמלצת בית המשפט הודיעו הצדדים ביום 27.10.21 כי מוסכם עליהם שבכל הקשור לשאלת הנזק, ינוהל התיק בהתאם להוראות חוק הפיצויים (הן בכל הקשור לדרך קביעת הנכות והן בכל הקשור לדרך חישוב הנזק) ובכך לא נדרשה הגשת </w:t>
      </w:r>
      <w:proofErr w:type="spellStart"/>
      <w:r>
        <w:rPr>
          <w:rFonts w:ascii="David" w:hAnsi="David" w:cs="David"/>
          <w:sz w:val="24"/>
          <w:szCs w:val="24"/>
          <w:rtl/>
        </w:rPr>
        <w:t>חוו"ד</w:t>
      </w:r>
      <w:proofErr w:type="spellEnd"/>
      <w:r>
        <w:rPr>
          <w:rFonts w:ascii="David" w:hAnsi="David" w:cs="David"/>
          <w:sz w:val="24"/>
          <w:szCs w:val="24"/>
          <w:rtl/>
        </w:rPr>
        <w:t xml:space="preserve"> מטעם הצדדים.</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לאחר שהצדדים לא התפשרו, העידו לפני התובע וכן הגב' מירב אשכנזי, שהינה חתמת אצל הנתבעת. בסיום הדיון נשמעו סיכומים בע"פ.</w:t>
      </w:r>
    </w:p>
    <w:p w:rsidR="00A541FB" w:rsidRDefault="00A541FB" w:rsidP="00A541FB">
      <w:pPr>
        <w:rPr>
          <w:rFonts w:ascii="Miriam" w:hAnsi="Miriam" w:cs="Miriam"/>
        </w:rPr>
      </w:pPr>
      <w:r>
        <w:rPr>
          <w:rFonts w:ascii="Miriam" w:hAnsi="Miriam" w:cs="Miriam"/>
          <w:rtl/>
        </w:rPr>
        <w:t>עדויות הצדדים בשאלת החבות</w:t>
      </w: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בעדותו הבהיר התובע כי תוך כדי נסיעה, שמע רעש ועל כן האט את האופנוע. הוא ניסה לרדת מהאופנוע ואז האופנוע נפל על רגלו (עמ' 7, שורות 9-12). התובע לא יכול היה להסביר מדוע בתביעה לביטוח הלאומי לא ציין כי בכוונתו לתבוע את הביטוח (ע' 7, שורות 21-27), לא ידע להסביר מדוע בתחילה הגיש את התביעה לפי חוק הפיצויים (עמ' 8, שורות 10-16).</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התובע אישר כי בתחילת 2018 הוא שינה את כתובתו, ועבר מבאר שבע למיתר (ת/1, עמ' 9, שורות 9-11, עמ' 11, שורות 9-11), וכי לא הודיע לנתבעת על השינוי בכתובת (עמ' 11, שורות 29-30). התובע טען כי המכתב לא הגיע לבית הוריו, וכי אם היה מגיע היה מקבל אותו (עמ' 11, שורות 17-18).</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lastRenderedPageBreak/>
        <w:t>לשאלת ב"כ הנתבעת מה היה עושה כדי לזכור שצריך לחדש ביטוח, הבהיר התובע כי הוא סומך על חברת הביטוח שתזכיר לו, כפי שהיה לאחרונה עת קיבל הודעת דואר אלקטרוני שמזכירה לו (עמ' 12, שורות 29-34). התובע אישר כי לא סיפק לנתבעת כתובת דואר אלקטרוני או טלפון בעת עריכת הפוליסה (עמ' 12, שורה 35 – עמ' 13, שורה 5).</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העדה מטעם הנתבעת, הינה חתמת בחברה. העדות שלה לא הייתה מידיעה אישית (והתבססה על נהלי החברה). לטענתה המחשב שולח באופן אוטומטי מכתב תזכורת (אשר צורף כנספח 3 לתיק המוצגים מטעם הנתבעת). היא אישרה כי מי ששולח הוא בית הדפוס, מתל אביב (עמ' 16, שורות 12-15) וכי הם, עצמם, יושבים בראשון לציון (עמ' 16, שורות 16-17). העדה אישרה כי היא אינה יכולה להעיד, מידיעתה, על משלוח המכתב, היא לא אחראית על כך ולא עושה מעקבים, וכי המכתב נשלח בדואר רגיל (עמ' 16, שורות 20-31). העדה אישרה כי היא לא מבקרת בבית הדפוס (עמ' 16, שורות 18-19).</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לשאלת ב"כ התובע, האם יש בידה ראיה כי המכתב נשלח השיבה:-</w:t>
      </w:r>
    </w:p>
    <w:p w:rsidR="00A541FB" w:rsidRDefault="00A541FB" w:rsidP="00A541FB">
      <w:pPr>
        <w:pStyle w:val="a9"/>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1134" w:right="851" w:hanging="1134"/>
        <w:jc w:val="both"/>
        <w:rPr>
          <w:rFonts w:ascii="David" w:hAnsi="David" w:cs="David"/>
          <w:sz w:val="24"/>
          <w:szCs w:val="24"/>
          <w:rtl/>
        </w:rPr>
      </w:pPr>
      <w:r>
        <w:rPr>
          <w:rFonts w:ascii="David" w:hAnsi="David" w:cs="David"/>
          <w:sz w:val="24"/>
          <w:szCs w:val="24"/>
          <w:rtl/>
        </w:rPr>
        <w:tab/>
      </w:r>
      <w:r>
        <w:rPr>
          <w:rFonts w:ascii="David" w:hAnsi="David" w:cs="David"/>
          <w:sz w:val="24"/>
          <w:szCs w:val="24"/>
          <w:rtl/>
        </w:rPr>
        <w:tab/>
        <w:t>"</w:t>
      </w:r>
      <w:r>
        <w:rPr>
          <w:rFonts w:ascii="Miriam" w:hAnsi="Miriam" w:cs="Miriam"/>
          <w:sz w:val="24"/>
          <w:szCs w:val="24"/>
          <w:rtl/>
        </w:rPr>
        <w:t xml:space="preserve">אין לי איזה שהיא ראיה. אני יכולה להגיד שאנו פועלים לפי הנחיות. שולחים מכתבים. הכתובת </w:t>
      </w:r>
      <w:proofErr w:type="spellStart"/>
      <w:r>
        <w:rPr>
          <w:rFonts w:ascii="Miriam" w:hAnsi="Miriam" w:cs="Miriam"/>
          <w:sz w:val="24"/>
          <w:szCs w:val="24"/>
          <w:rtl/>
        </w:rPr>
        <w:t>היתה</w:t>
      </w:r>
      <w:proofErr w:type="spellEnd"/>
      <w:r>
        <w:rPr>
          <w:rFonts w:ascii="Miriam" w:hAnsi="Miriam" w:cs="Miriam"/>
          <w:sz w:val="24"/>
          <w:szCs w:val="24"/>
          <w:rtl/>
        </w:rPr>
        <w:t xml:space="preserve"> תקינה. גם ברישיון הנהיגה. וגם בתיק הפוליסה. גם בפוליסה עצמה</w:t>
      </w:r>
      <w:r>
        <w:rPr>
          <w:rFonts w:ascii="David" w:hAnsi="David" w:cs="David"/>
          <w:sz w:val="24"/>
          <w:szCs w:val="24"/>
          <w:rtl/>
        </w:rPr>
        <w:t>" (עמ' 16, שורות 33-34)</w:t>
      </w:r>
    </w:p>
    <w:p w:rsidR="00A541FB" w:rsidRDefault="00A541FB" w:rsidP="00A541FB">
      <w:pPr>
        <w:pStyle w:val="a9"/>
        <w:rPr>
          <w:rFonts w:ascii="David" w:hAnsi="David" w:cs="David"/>
          <w:sz w:val="24"/>
          <w:szCs w:val="24"/>
        </w:rPr>
      </w:pPr>
    </w:p>
    <w:p w:rsidR="00A541FB" w:rsidRDefault="00A541FB" w:rsidP="00A541FB">
      <w:pPr>
        <w:tabs>
          <w:tab w:val="left" w:pos="567"/>
          <w:tab w:val="left" w:pos="1134"/>
          <w:tab w:val="left" w:pos="1701"/>
          <w:tab w:val="left" w:pos="2268"/>
          <w:tab w:val="left" w:pos="2835"/>
        </w:tabs>
        <w:spacing w:before="160" w:line="360" w:lineRule="auto"/>
        <w:jc w:val="both"/>
        <w:rPr>
          <w:rFonts w:ascii="Miriam" w:hAnsi="Miriam" w:cs="Miriam"/>
          <w:rtl/>
        </w:rPr>
      </w:pPr>
      <w:r>
        <w:rPr>
          <w:rFonts w:ascii="Miriam" w:hAnsi="Miriam" w:cs="Miriam"/>
          <w:rtl/>
        </w:rPr>
        <w:t>טענות הצדדים בשאלת החבות</w:t>
      </w: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התובע טען כי בפעול הנתבעת לא הציגה כל ראיה לכך שהמכתב אכן נשלח, וכי האזהרה ולפיה הביטוח מסתיים הגיעה ליעדה. לטענת התובע הסיבה לפיה אין בדף ההצעה לביטוח (עמ' 7 לתיק מוצגי הנתבעת) פרטי התקשרות כגון מספר טלפון או כתובת דואר אלקטרוני הינה כי הפקידה אצל הנתבעת לא ביקשה אותם. </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 xml:space="preserve">התובע הפנה לחוזר המפקחת על הביטוח משנת 2014 וכן לפסקי הדין שניתנו </w:t>
      </w:r>
      <w:proofErr w:type="spellStart"/>
      <w:r>
        <w:rPr>
          <w:rFonts w:ascii="David" w:hAnsi="David" w:cs="David"/>
          <w:sz w:val="24"/>
          <w:szCs w:val="24"/>
          <w:rtl/>
        </w:rPr>
        <w:t>ברע"א</w:t>
      </w:r>
      <w:proofErr w:type="spellEnd"/>
      <w:r>
        <w:rPr>
          <w:rFonts w:ascii="David" w:hAnsi="David" w:cs="David"/>
          <w:sz w:val="24"/>
          <w:szCs w:val="24"/>
          <w:rtl/>
        </w:rPr>
        <w:t xml:space="preserve"> 5695/06 </w:t>
      </w:r>
      <w:r>
        <w:rPr>
          <w:rFonts w:ascii="Miriam" w:hAnsi="Miriam" w:cs="Miriam"/>
          <w:sz w:val="24"/>
          <w:szCs w:val="24"/>
          <w:rtl/>
        </w:rPr>
        <w:t xml:space="preserve">בהא סייף נ' </w:t>
      </w:r>
      <w:proofErr w:type="spellStart"/>
      <w:r>
        <w:rPr>
          <w:rFonts w:ascii="Miriam" w:hAnsi="Miriam" w:cs="Miriam"/>
          <w:sz w:val="24"/>
          <w:szCs w:val="24"/>
          <w:rtl/>
        </w:rPr>
        <w:t>פוזי</w:t>
      </w:r>
      <w:proofErr w:type="spellEnd"/>
      <w:r>
        <w:rPr>
          <w:rFonts w:ascii="Miriam" w:hAnsi="Miriam" w:cs="Miriam"/>
          <w:sz w:val="24"/>
          <w:szCs w:val="24"/>
          <w:rtl/>
        </w:rPr>
        <w:t xml:space="preserve"> מרעי ואח'</w:t>
      </w:r>
      <w:r>
        <w:rPr>
          <w:rFonts w:ascii="David" w:hAnsi="David" w:cs="David"/>
          <w:sz w:val="24"/>
          <w:szCs w:val="24"/>
          <w:rtl/>
        </w:rPr>
        <w:t xml:space="preserve"> (2009) (להלן:- "</w:t>
      </w:r>
      <w:r>
        <w:rPr>
          <w:rFonts w:ascii="Miriam" w:hAnsi="Miriam" w:cs="Miriam"/>
          <w:sz w:val="24"/>
          <w:szCs w:val="24"/>
          <w:rtl/>
        </w:rPr>
        <w:t>עניין בהא סייף</w:t>
      </w:r>
      <w:r>
        <w:rPr>
          <w:rFonts w:ascii="David" w:hAnsi="David" w:cs="David"/>
          <w:sz w:val="24"/>
          <w:szCs w:val="24"/>
          <w:rtl/>
        </w:rPr>
        <w:t xml:space="preserve">") וכן ת.א. 6045-05-10 </w:t>
      </w:r>
      <w:r>
        <w:rPr>
          <w:rFonts w:ascii="Miriam" w:hAnsi="Miriam" w:cs="Miriam"/>
          <w:sz w:val="24"/>
          <w:szCs w:val="24"/>
          <w:rtl/>
        </w:rPr>
        <w:t>חנה תורגמן ואח' נ' שולמית הראל ואח'</w:t>
      </w:r>
      <w:r>
        <w:rPr>
          <w:rFonts w:ascii="David" w:hAnsi="David" w:cs="David"/>
          <w:sz w:val="24"/>
          <w:szCs w:val="24"/>
          <w:rtl/>
        </w:rPr>
        <w:t xml:space="preserve"> (2017) (להלן:- "</w:t>
      </w:r>
      <w:r>
        <w:rPr>
          <w:rFonts w:ascii="Miriam" w:hAnsi="Miriam" w:cs="Miriam"/>
          <w:sz w:val="24"/>
          <w:szCs w:val="24"/>
          <w:rtl/>
        </w:rPr>
        <w:t>עניין חנה תורגמן</w:t>
      </w:r>
      <w:r>
        <w:rPr>
          <w:rFonts w:ascii="David" w:hAnsi="David" w:cs="David"/>
          <w:sz w:val="24"/>
          <w:szCs w:val="24"/>
          <w:rtl/>
        </w:rPr>
        <w:t>"). לטענת התובע הנתבעת הפרה את חובתה בכך שלא התריעה על סיום תקופת הביטוח.</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לטענת התובע הוא פעל בתום לב, התאונה ארעה בסמוך למועד פקיעת הביטוח והנתבעת לא עובדת לפי נוהל מסודר ולכן אין להטיל עליו אשם תורם כלשהו.</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התובע הפנה לכך כי הנתבעת אינה חברת ביטוח מסחרית רגילה. מדובר בתאגיד שיורי שעורך ביטוחים באותם מקרים בהם חברות הביטוח אינן מבטחות. על כן אין לו סוכנים ויש להגיע למשרדיו על מנת לבטח את האופנועים. משכך, לטענתו, יש להטיל על הנתבעת את החובות המוטלות על סוכן הביטוח (כפי שנקבע </w:t>
      </w:r>
      <w:r>
        <w:rPr>
          <w:rFonts w:ascii="Miriam" w:hAnsi="Miriam" w:cs="Miriam"/>
          <w:sz w:val="24"/>
          <w:szCs w:val="24"/>
          <w:rtl/>
        </w:rPr>
        <w:t>בעניין בהא סייף</w:t>
      </w:r>
      <w:r>
        <w:rPr>
          <w:rFonts w:ascii="David" w:hAnsi="David" w:cs="David"/>
          <w:sz w:val="24"/>
          <w:szCs w:val="24"/>
          <w:rtl/>
        </w:rPr>
        <w:t>). לטענת התובע, בשל העובדה שהנתבעת הינה ביטוח שיורי ואין לו אינטרס בגיוס לקוחות, היא לא פועלת כנדרש.</w:t>
      </w:r>
    </w:p>
    <w:p w:rsidR="00A541FB" w:rsidRDefault="00A541FB" w:rsidP="00A541FB">
      <w:pPr>
        <w:pStyle w:val="a9"/>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r>
        <w:rPr>
          <w:rFonts w:ascii="David" w:hAnsi="David" w:cs="David"/>
          <w:sz w:val="24"/>
          <w:szCs w:val="24"/>
          <w:rtl/>
        </w:rPr>
        <w:lastRenderedPageBreak/>
        <w:tab/>
        <w:t>לטענת התובע על הנתבעת להוכיח שהמכתב התקבל ולא עליו הנטל להוכיח את העובדה שהמכתב לא התקבל.</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הנתבעת מנגד, טוענת שאין לתובע כל הוכחה לעצם קרות התאונה ומעורבות האופנוע המדובר בתאונה ומשכך דין התביעה להידחות.</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לטענתה אין להקיש מאחריות סוכן הביטוח כלפיה, שכן היא חברת ביטוח. לטענת הנתבעת חובתו של כל נהג שלא לנהוג ללא תעודת ביטוח. מקור החובה הינו בהוראות החוק ואין להפחית מהנטל הכבד המוטל על כתפיו ולהטיל אותו עליה. לטענתה פס"ד שאילו מפנה התובע (</w:t>
      </w:r>
      <w:r>
        <w:rPr>
          <w:rFonts w:ascii="Miriam" w:hAnsi="Miriam" w:cs="Miriam"/>
          <w:sz w:val="24"/>
          <w:szCs w:val="24"/>
          <w:rtl/>
        </w:rPr>
        <w:t>עניין חנה תורגמן</w:t>
      </w:r>
      <w:r>
        <w:rPr>
          <w:rFonts w:ascii="David" w:hAnsi="David" w:cs="David"/>
          <w:sz w:val="24"/>
          <w:szCs w:val="24"/>
          <w:rtl/>
        </w:rPr>
        <w:t xml:space="preserve">) היה כנגד חברת </w:t>
      </w:r>
      <w:proofErr w:type="spellStart"/>
      <w:r>
        <w:rPr>
          <w:rFonts w:ascii="David" w:hAnsi="David" w:cs="David"/>
          <w:sz w:val="24"/>
          <w:szCs w:val="24"/>
          <w:rtl/>
        </w:rPr>
        <w:t>איי.אי.ג'י</w:t>
      </w:r>
      <w:proofErr w:type="spellEnd"/>
      <w:r>
        <w:rPr>
          <w:rFonts w:ascii="David" w:hAnsi="David" w:cs="David"/>
          <w:sz w:val="24"/>
          <w:szCs w:val="24"/>
          <w:rtl/>
        </w:rPr>
        <w:t xml:space="preserve"> שהינה חברת ביטוח ישיר ומשמשת גם כסוכן ביטוח.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לטענת הנתבעת המכתב נשלח לכתובת הרשומה בפוליסה, לכתובת שהייתה רשומה במשרד הפנים בעת שנערכה הפוליסה, וכי התובע לא מצא לנכון לעדכן את הנתבעת על שינוי הכתובת ועל כן אין לו להלין אלא על עצמו.</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הנתבעת מפנה לשיחה שערך התובע עם נציגה מטעמה, שבסיומה אומרת הנציגה כי בעצם כן שולחים מכתב למבוטחים (לאחר שבתחילת השיחה טענה כי זו אחריות של המבוטח בלבד). הנתבעת הפנתה לפסק הדין </w:t>
      </w:r>
      <w:proofErr w:type="spellStart"/>
      <w:r>
        <w:rPr>
          <w:rFonts w:ascii="David" w:hAnsi="David" w:cs="David"/>
          <w:sz w:val="24"/>
          <w:szCs w:val="24"/>
          <w:rtl/>
        </w:rPr>
        <w:t>בתא"מ</w:t>
      </w:r>
      <w:proofErr w:type="spellEnd"/>
      <w:r>
        <w:rPr>
          <w:rFonts w:ascii="David" w:hAnsi="David" w:cs="David"/>
          <w:sz w:val="24"/>
          <w:szCs w:val="24"/>
          <w:rtl/>
        </w:rPr>
        <w:t xml:space="preserve"> 28695-02-18 </w:t>
      </w:r>
      <w:r>
        <w:rPr>
          <w:rFonts w:ascii="Miriam" w:hAnsi="Miriam" w:cs="Miriam"/>
          <w:sz w:val="24"/>
          <w:szCs w:val="24"/>
          <w:rtl/>
        </w:rPr>
        <w:t xml:space="preserve">שומרה חברה לביטוח בע"מ ואח' נ' </w:t>
      </w:r>
      <w:proofErr w:type="spellStart"/>
      <w:r>
        <w:rPr>
          <w:rFonts w:ascii="Miriam" w:hAnsi="Miriam" w:cs="Miriam"/>
          <w:sz w:val="24"/>
          <w:szCs w:val="24"/>
          <w:rtl/>
        </w:rPr>
        <w:t>עג'ם</w:t>
      </w:r>
      <w:proofErr w:type="spellEnd"/>
      <w:r>
        <w:rPr>
          <w:rFonts w:ascii="Miriam" w:hAnsi="Miriam" w:cs="Miriam"/>
          <w:sz w:val="24"/>
          <w:szCs w:val="24"/>
          <w:rtl/>
        </w:rPr>
        <w:t xml:space="preserve"> סעיד ואח'</w:t>
      </w:r>
      <w:r>
        <w:rPr>
          <w:rFonts w:ascii="David" w:hAnsi="David" w:cs="David"/>
          <w:sz w:val="24"/>
          <w:szCs w:val="24"/>
          <w:rtl/>
        </w:rPr>
        <w:t xml:space="preserve"> (2020) (להלן:- "</w:t>
      </w:r>
      <w:r>
        <w:rPr>
          <w:rFonts w:ascii="Miriam" w:hAnsi="Miriam" w:cs="Miriam"/>
          <w:sz w:val="24"/>
          <w:szCs w:val="24"/>
          <w:rtl/>
        </w:rPr>
        <w:t>עניין שומרה</w:t>
      </w:r>
      <w:r>
        <w:rPr>
          <w:rFonts w:ascii="David" w:hAnsi="David" w:cs="David"/>
          <w:sz w:val="24"/>
          <w:szCs w:val="24"/>
          <w:rtl/>
        </w:rPr>
        <w:t>"), ששם נדחתה תביעה הואיל ונשלח מכתב בדואר רגיל (אם כי פסיקה זו אינה עוסקת בנזקי גוף אלא בנזקי רכוש).</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לטענת הנתבעת אין כל חובה למשלוח המכתב בדואר רשום, לשם כך היא מפנה לס' 25 </w:t>
      </w:r>
      <w:r>
        <w:rPr>
          <w:rFonts w:ascii="Miriam" w:hAnsi="Miriam" w:cs="Miriam"/>
          <w:sz w:val="24"/>
          <w:szCs w:val="24"/>
          <w:rtl/>
        </w:rPr>
        <w:t xml:space="preserve">לחוק החוזים (חלק כללי), </w:t>
      </w:r>
      <w:proofErr w:type="spellStart"/>
      <w:r>
        <w:rPr>
          <w:rFonts w:ascii="Miriam" w:hAnsi="Miriam" w:cs="Miriam"/>
          <w:sz w:val="24"/>
          <w:szCs w:val="24"/>
          <w:rtl/>
        </w:rPr>
        <w:t>התשל"ג</w:t>
      </w:r>
      <w:proofErr w:type="spellEnd"/>
      <w:r>
        <w:rPr>
          <w:rFonts w:ascii="Miriam" w:hAnsi="Miriam" w:cs="Miriam"/>
          <w:sz w:val="24"/>
          <w:szCs w:val="24"/>
          <w:rtl/>
        </w:rPr>
        <w:t xml:space="preserve"> – 1973</w:t>
      </w:r>
      <w:r>
        <w:rPr>
          <w:rFonts w:ascii="David" w:hAnsi="David" w:cs="David"/>
          <w:sz w:val="24"/>
          <w:szCs w:val="24"/>
          <w:rtl/>
        </w:rPr>
        <w:t xml:space="preserve"> שמחיל את סעיף 57ג ל</w:t>
      </w:r>
      <w:r>
        <w:rPr>
          <w:rFonts w:ascii="Miriam" w:hAnsi="Miriam" w:cs="Miriam"/>
          <w:sz w:val="24"/>
          <w:szCs w:val="24"/>
          <w:rtl/>
        </w:rPr>
        <w:t xml:space="preserve">פקודת הראיות [נוסח חדש], </w:t>
      </w:r>
      <w:proofErr w:type="spellStart"/>
      <w:r>
        <w:rPr>
          <w:rFonts w:ascii="Miriam" w:hAnsi="Miriam" w:cs="Miriam"/>
          <w:sz w:val="24"/>
          <w:szCs w:val="24"/>
          <w:rtl/>
        </w:rPr>
        <w:t>התשל"א</w:t>
      </w:r>
      <w:proofErr w:type="spellEnd"/>
      <w:r>
        <w:rPr>
          <w:rFonts w:ascii="Miriam" w:hAnsi="Miriam" w:cs="Miriam"/>
          <w:sz w:val="24"/>
          <w:szCs w:val="24"/>
          <w:rtl/>
        </w:rPr>
        <w:t xml:space="preserve"> – 1971</w:t>
      </w:r>
      <w:r>
        <w:rPr>
          <w:rFonts w:ascii="David" w:hAnsi="David" w:cs="David"/>
          <w:sz w:val="24"/>
          <w:szCs w:val="24"/>
          <w:rtl/>
        </w:rPr>
        <w:t>, על הפוליסה (שהינה חוזה).</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עוד מפנה הנתבעת לכך שמאז התאונה ועד הגשת התביעה עבר זמן, כי בתחילה הוגשה התביעה לפי חוק הפיצויים ולא לפי פקודת </w:t>
      </w:r>
      <w:proofErr w:type="spellStart"/>
      <w:r>
        <w:rPr>
          <w:rFonts w:ascii="David" w:hAnsi="David" w:cs="David"/>
          <w:sz w:val="24"/>
          <w:szCs w:val="24"/>
          <w:rtl/>
        </w:rPr>
        <w:t>הנזיקין</w:t>
      </w:r>
      <w:proofErr w:type="spellEnd"/>
      <w:r>
        <w:rPr>
          <w:rFonts w:ascii="David" w:hAnsi="David" w:cs="David"/>
          <w:sz w:val="24"/>
          <w:szCs w:val="24"/>
          <w:rtl/>
        </w:rPr>
        <w:t xml:space="preserve"> וכי גם לאחר התאונה חודשה הפוליסה רק לאחר שנתיים.</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לחילופין טוענת הנתבעת כי יש להטיל על התובע אשם תורם בשיעור 70%.</w:t>
      </w:r>
    </w:p>
    <w:p w:rsidR="00A541FB" w:rsidRDefault="00A541FB" w:rsidP="00A541FB">
      <w:pPr>
        <w:pStyle w:val="a9"/>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Miriam" w:hAnsi="Miriam" w:cs="Miriam"/>
          <w:sz w:val="24"/>
          <w:szCs w:val="24"/>
          <w:rtl/>
        </w:rPr>
      </w:pPr>
      <w:r>
        <w:rPr>
          <w:rFonts w:ascii="Miriam" w:hAnsi="Miriam" w:cs="Miriam"/>
          <w:sz w:val="24"/>
          <w:szCs w:val="24"/>
          <w:rtl/>
        </w:rPr>
        <w:t xml:space="preserve">לגופו של עניין (בשאלת החבות) – </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צודק התובע כי הנתבעת אינה חברת ביטוח רגילה, אינה משווקת פוליסות בצורה רגילה, ולפיכך החובות שלה שונות. הנתבעת אינה חברת ביטוח אלא מנהלת הסדר ביטוח שיורי. מטרת הסדר הביטוח היא לתת כיסוי ביטוחי בגין נהיגה ברכב למי שחברת ביטוח מסחרית אינה מוכנה לבטח אותו. לכן, למעשה, הפוליסות היחידות שמטופלות על ידי הנתבעת הינן פוליסות בהתאם ל</w:t>
      </w:r>
      <w:r>
        <w:rPr>
          <w:rFonts w:ascii="Miriam" w:hAnsi="Miriam" w:cs="Miriam"/>
          <w:sz w:val="24"/>
          <w:szCs w:val="24"/>
          <w:rtl/>
        </w:rPr>
        <w:t xml:space="preserve">הוראות פקודת ביטוח רכב מנועי [נוסח חדש], </w:t>
      </w:r>
      <w:proofErr w:type="spellStart"/>
      <w:r>
        <w:rPr>
          <w:rFonts w:ascii="Miriam" w:hAnsi="Miriam" w:cs="Miriam"/>
          <w:sz w:val="24"/>
          <w:szCs w:val="24"/>
          <w:rtl/>
        </w:rPr>
        <w:t>התש"ל</w:t>
      </w:r>
      <w:proofErr w:type="spellEnd"/>
      <w:r>
        <w:rPr>
          <w:rFonts w:ascii="Miriam" w:hAnsi="Miriam" w:cs="Miriam"/>
          <w:sz w:val="24"/>
          <w:szCs w:val="24"/>
          <w:rtl/>
        </w:rPr>
        <w:t xml:space="preserve"> – 1970</w:t>
      </w:r>
      <w:r>
        <w:rPr>
          <w:rFonts w:ascii="David" w:hAnsi="David" w:cs="David"/>
          <w:sz w:val="24"/>
          <w:szCs w:val="24"/>
          <w:rtl/>
        </w:rPr>
        <w:t>.</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Miriam" w:hAnsi="Miriam" w:cs="Miriam"/>
          <w:sz w:val="24"/>
          <w:szCs w:val="24"/>
        </w:rPr>
      </w:pPr>
      <w:r>
        <w:rPr>
          <w:rFonts w:ascii="David" w:hAnsi="David" w:cs="David"/>
          <w:sz w:val="24"/>
          <w:szCs w:val="24"/>
          <w:rtl/>
        </w:rPr>
        <w:t>פעולת הנתבעת (כמנהלת ההסדר) מוסדרת ב</w:t>
      </w:r>
      <w:r>
        <w:rPr>
          <w:rFonts w:ascii="Miriam" w:hAnsi="Miriam" w:cs="Miriam"/>
          <w:sz w:val="24"/>
          <w:szCs w:val="24"/>
          <w:rtl/>
        </w:rPr>
        <w:t xml:space="preserve">תקנות ביטוח רכב מנועי (הסדר ביטוח שיורי ומנגנון לקביעת התעריף), </w:t>
      </w:r>
      <w:proofErr w:type="spellStart"/>
      <w:r>
        <w:rPr>
          <w:rFonts w:ascii="Miriam" w:hAnsi="Miriam" w:cs="Miriam"/>
          <w:sz w:val="24"/>
          <w:szCs w:val="24"/>
          <w:rtl/>
        </w:rPr>
        <w:t>התשס"א</w:t>
      </w:r>
      <w:proofErr w:type="spellEnd"/>
      <w:r>
        <w:rPr>
          <w:rFonts w:ascii="Miriam" w:hAnsi="Miriam" w:cs="Miriam"/>
          <w:sz w:val="24"/>
          <w:szCs w:val="24"/>
          <w:rtl/>
        </w:rPr>
        <w:t xml:space="preserve"> – 2001</w:t>
      </w:r>
      <w:r>
        <w:rPr>
          <w:rFonts w:ascii="David" w:hAnsi="David" w:cs="David"/>
          <w:sz w:val="24"/>
          <w:szCs w:val="24"/>
          <w:rtl/>
        </w:rPr>
        <w:t xml:space="preserve"> פעילות זו החליפה את ההסדר שקדם להקמתה </w:t>
      </w:r>
      <w:r>
        <w:rPr>
          <w:rFonts w:ascii="David" w:hAnsi="David" w:cs="David"/>
          <w:sz w:val="24"/>
          <w:szCs w:val="24"/>
          <w:rtl/>
        </w:rPr>
        <w:lastRenderedPageBreak/>
        <w:t xml:space="preserve">(בשל השינויים שהיו בעקבות </w:t>
      </w:r>
      <w:r>
        <w:rPr>
          <w:rStyle w:val="default"/>
          <w:rFonts w:ascii="Miriam" w:hAnsi="Miriam" w:cs="Miriam"/>
          <w:sz w:val="24"/>
          <w:szCs w:val="24"/>
          <w:rtl/>
        </w:rPr>
        <w:t xml:space="preserve">חוק ביטוח רכב מנועי (ביטוח בתנאי תחרות מבוקרת, הסדרים לתקופת מעבר והוראות </w:t>
      </w:r>
      <w:proofErr w:type="spellStart"/>
      <w:r>
        <w:rPr>
          <w:rStyle w:val="default"/>
          <w:rFonts w:ascii="Miriam" w:hAnsi="Miriam" w:cs="Miriam"/>
          <w:sz w:val="24"/>
          <w:szCs w:val="24"/>
          <w:rtl/>
        </w:rPr>
        <w:t>לענין</w:t>
      </w:r>
      <w:proofErr w:type="spellEnd"/>
      <w:r>
        <w:rPr>
          <w:rStyle w:val="default"/>
          <w:rFonts w:ascii="Miriam" w:hAnsi="Miriam" w:cs="Miriam"/>
          <w:sz w:val="24"/>
          <w:szCs w:val="24"/>
          <w:rtl/>
        </w:rPr>
        <w:t xml:space="preserve"> אבנר), תשנ"ז-1997</w:t>
      </w:r>
      <w:r>
        <w:rPr>
          <w:rFonts w:ascii="Miriam" w:hAnsi="Miriam" w:cs="Miriam"/>
          <w:sz w:val="24"/>
          <w:szCs w:val="24"/>
          <w:rtl/>
        </w:rPr>
        <w:t>.</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r>
        <w:rPr>
          <w:rFonts w:ascii="David" w:hAnsi="David" w:cs="David"/>
          <w:sz w:val="24"/>
          <w:szCs w:val="24"/>
          <w:rtl/>
        </w:rPr>
        <w:tab/>
      </w: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הרקע לקיומה של הנתבעת הינה ההוראה בפקודת ביטוח רכב מנועי אשר מחייבת כל נהג ברכב מנועי לבטח את כלי הרכב שברשותו, הוראה שסנקציה פלילית בצידה. כלי רכב אינו מוצר "מותרות" שכן החיים המודרניים מחייבים ניידות ממקום למקום, לעיתים בתחבורה ציבורית ולעיתים בתחבורה פרטית. לכן הבין המחוקק כי לא ניתן להשאיר עניין זה לשוק המסחרי בלבד, ועליו לאפשר הסדר לכל אותם בעלי כלי רכב שמבחינת סיכון ביטוחי חברות הביטוח לא מעוניינות לבטח אתן בפרמיה סבירה.</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לפיכך קובעת תקנה 2 כי מכירת הביטוח תעשה ישירות בין הנתבעת לבין "</w:t>
      </w:r>
      <w:r>
        <w:rPr>
          <w:rFonts w:ascii="Miriam" w:hAnsi="Miriam" w:cs="Miriam"/>
          <w:sz w:val="24"/>
          <w:szCs w:val="24"/>
          <w:rtl/>
        </w:rPr>
        <w:t>כל בעל רכב הפונה אליו</w:t>
      </w:r>
      <w:r>
        <w:rPr>
          <w:rFonts w:ascii="David" w:hAnsi="David" w:cs="David"/>
          <w:sz w:val="24"/>
          <w:szCs w:val="24"/>
          <w:rtl/>
        </w:rPr>
        <w:t>" ולפיכך פרמיית הביטוח מחושבת לפי המנגנון  הקבוע בתקנה 5 ואינה פעולת חיתום טהורה שלוקחת בחשבון רק את מאפייני הסיכון של המבוטח (למעט החריג בתקנה 5(4)).</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משכך יש לקבוע כי מעמדה של הנתבעת, שהינה מנהלת ההסדר, היא פעילות בעלת מאפיינים ציבוריים ולא רק מסחריים, היא למעשה אינה "חברת ביטוח" ולכן סעיף 5(א) לחוזר 2014 מציין במפורש כי "</w:t>
      </w:r>
      <w:r>
        <w:rPr>
          <w:rFonts w:ascii="Miriam" w:hAnsi="Miriam" w:cs="Miriam"/>
          <w:sz w:val="24"/>
          <w:szCs w:val="24"/>
          <w:rtl/>
        </w:rPr>
        <w:t>הוראות החוזר יחולו על כל חברות הביטוח, לרבות התאגיד המנהל של המאגר לביטוח רכב חובה ("הפול") בע"מ</w:t>
      </w:r>
      <w:r>
        <w:rPr>
          <w:rFonts w:ascii="David" w:hAnsi="David" w:cs="David"/>
          <w:sz w:val="24"/>
          <w:szCs w:val="24"/>
          <w:rtl/>
        </w:rPr>
        <w:t>" (שכן אם הייתה חברת ביטוח לא היה צריך לציין אותה בשמה).</w:t>
      </w:r>
    </w:p>
    <w:p w:rsidR="00A541FB" w:rsidRDefault="00A541FB" w:rsidP="00A541FB">
      <w:pPr>
        <w:pStyle w:val="a9"/>
        <w:rPr>
          <w:rFonts w:ascii="David" w:hAnsi="David" w:cs="David"/>
          <w:sz w:val="24"/>
          <w:szCs w:val="24"/>
        </w:rPr>
      </w:pPr>
    </w:p>
    <w:p w:rsidR="00A541FB" w:rsidRDefault="00A541FB" w:rsidP="00176018">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דרך השיווק של הפוליסות הינה באמצעות מכירה ישירה, בהתאם לתקנה 2, ועל כן יש להתייחס אליה גם כסוכן ביטוח (כפי שנקבע בעניין בהא סייף הנ"ל) כפי שנקבע בעניין של חברות ביטוח ישירות (בעניין חנה תורגמן הנ"ל) ולא כפי שמתייחסים לחברת ביטוח המשווקות את הפוליסות באמצעות סוכנים.</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חוזר המפקח על הביטוח משנת 2014, כשלעצמו, לא נולד בחלל הריק. עד למועד הוצאתו היו נוהגים הסדרים שונים, כולל חידושים אוטומטיים של ביטוחים. חלקם היו מעוגנים בחוזרים וחלקם בהתכתבויות והכל כמפורט </w:t>
      </w:r>
      <w:proofErr w:type="spellStart"/>
      <w:r>
        <w:rPr>
          <w:rFonts w:ascii="David" w:hAnsi="David" w:cs="David"/>
          <w:sz w:val="24"/>
          <w:szCs w:val="24"/>
          <w:rtl/>
        </w:rPr>
        <w:t>בת"צ</w:t>
      </w:r>
      <w:proofErr w:type="spellEnd"/>
      <w:r>
        <w:rPr>
          <w:rFonts w:ascii="David" w:hAnsi="David" w:cs="David"/>
          <w:sz w:val="24"/>
          <w:szCs w:val="24"/>
          <w:rtl/>
        </w:rPr>
        <w:t xml:space="preserve"> (מחוזי מרכז) 12963-12-11 </w:t>
      </w:r>
      <w:r>
        <w:rPr>
          <w:rFonts w:ascii="Miriam" w:hAnsi="Miriam" w:cs="Miriam"/>
          <w:sz w:val="24"/>
          <w:szCs w:val="24"/>
          <w:rtl/>
        </w:rPr>
        <w:t xml:space="preserve">אושרת שמעון נ' </w:t>
      </w:r>
      <w:proofErr w:type="spellStart"/>
      <w:r>
        <w:rPr>
          <w:rFonts w:ascii="Miriam" w:hAnsi="Miriam" w:cs="Miriam"/>
          <w:sz w:val="24"/>
          <w:szCs w:val="24"/>
          <w:rtl/>
        </w:rPr>
        <w:t>איי.די.איי</w:t>
      </w:r>
      <w:proofErr w:type="spellEnd"/>
      <w:r>
        <w:rPr>
          <w:rFonts w:ascii="Miriam" w:hAnsi="Miriam" w:cs="Miriam"/>
          <w:sz w:val="24"/>
          <w:szCs w:val="24"/>
          <w:rtl/>
        </w:rPr>
        <w:t xml:space="preserve"> חברה לביטוח בע"</w:t>
      </w:r>
      <w:r>
        <w:rPr>
          <w:rFonts w:ascii="David" w:hAnsi="David" w:cs="David"/>
          <w:sz w:val="24"/>
          <w:szCs w:val="24"/>
          <w:rtl/>
        </w:rPr>
        <w:t xml:space="preserve">מ (ראו פסקאות 75-77 להחלטת כב' השופטת מיכל </w:t>
      </w:r>
      <w:proofErr w:type="spellStart"/>
      <w:r>
        <w:rPr>
          <w:rFonts w:ascii="David" w:hAnsi="David" w:cs="David"/>
          <w:sz w:val="24"/>
          <w:szCs w:val="24"/>
          <w:rtl/>
        </w:rPr>
        <w:t>נד"ב</w:t>
      </w:r>
      <w:proofErr w:type="spellEnd"/>
      <w:r>
        <w:rPr>
          <w:rFonts w:ascii="David" w:hAnsi="David" w:cs="David"/>
          <w:sz w:val="24"/>
          <w:szCs w:val="24"/>
          <w:rtl/>
        </w:rPr>
        <w:t xml:space="preserve"> מיום 27.10.16).</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r>
        <w:rPr>
          <w:rFonts w:ascii="David" w:hAnsi="David" w:cs="David"/>
          <w:sz w:val="24"/>
          <w:szCs w:val="24"/>
          <w:rtl/>
        </w:rPr>
        <w:tab/>
        <w:t xml:space="preserve">החלטה זו (שאישרה הגשת תביעה </w:t>
      </w:r>
      <w:proofErr w:type="spellStart"/>
      <w:r>
        <w:rPr>
          <w:rFonts w:ascii="David" w:hAnsi="David" w:cs="David"/>
          <w:sz w:val="24"/>
          <w:szCs w:val="24"/>
          <w:rtl/>
        </w:rPr>
        <w:t>יצוגית</w:t>
      </w:r>
      <w:proofErr w:type="spellEnd"/>
      <w:r>
        <w:rPr>
          <w:rFonts w:ascii="David" w:hAnsi="David" w:cs="David"/>
          <w:sz w:val="24"/>
          <w:szCs w:val="24"/>
          <w:rtl/>
        </w:rPr>
        <w:t xml:space="preserve"> כנגד חברות הביטוח, בשל הארכות אוטומטיות של פוליסות) הורחבה במסגרת ע"א 9294/16 </w:t>
      </w:r>
      <w:r>
        <w:rPr>
          <w:rFonts w:ascii="Miriam" w:hAnsi="Miriam" w:cs="Miriam"/>
          <w:sz w:val="24"/>
          <w:szCs w:val="24"/>
          <w:rtl/>
        </w:rPr>
        <w:t xml:space="preserve">אושרת שמעון נ' חברת </w:t>
      </w:r>
      <w:proofErr w:type="spellStart"/>
      <w:r>
        <w:rPr>
          <w:rFonts w:ascii="Miriam" w:hAnsi="Miriam" w:cs="Miriam"/>
          <w:sz w:val="24"/>
          <w:szCs w:val="24"/>
          <w:rtl/>
        </w:rPr>
        <w:t>איי.די.איי</w:t>
      </w:r>
      <w:proofErr w:type="spellEnd"/>
      <w:r>
        <w:rPr>
          <w:rFonts w:ascii="Miriam" w:hAnsi="Miriam" w:cs="Miriam"/>
          <w:sz w:val="24"/>
          <w:szCs w:val="24"/>
          <w:rtl/>
        </w:rPr>
        <w:t xml:space="preserve"> חברה לביטוח בע"מ</w:t>
      </w:r>
      <w:r>
        <w:rPr>
          <w:rFonts w:ascii="David" w:hAnsi="David" w:cs="David"/>
          <w:sz w:val="24"/>
          <w:szCs w:val="24"/>
          <w:rtl/>
        </w:rPr>
        <w:t xml:space="preserve"> (2020).</w:t>
      </w:r>
    </w:p>
    <w:p w:rsidR="00A541FB" w:rsidRDefault="00A541FB" w:rsidP="00A541FB">
      <w:pPr>
        <w:ind w:firstLine="720"/>
        <w:rPr>
          <w:rFonts w:ascii="David" w:hAnsi="David"/>
          <w:rtl/>
        </w:rPr>
      </w:pPr>
      <w:r>
        <w:rPr>
          <w:rFonts w:ascii="David" w:hAnsi="David"/>
          <w:rtl/>
        </w:rPr>
        <w:t>מטרת החוזר הייתה להסדיר ולהבהיר את העניין ויש בו כדי לקבוע את הסטנדרט הנדרש מהנתבעת.</w:t>
      </w:r>
    </w:p>
    <w:p w:rsidR="00A541FB" w:rsidRDefault="00A541FB" w:rsidP="00A541FB">
      <w:pPr>
        <w:pStyle w:val="a9"/>
        <w:rPr>
          <w:rFonts w:ascii="David" w:hAnsi="David" w:cs="David"/>
          <w:sz w:val="24"/>
          <w:szCs w:val="24"/>
          <w:rtl/>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לסיכום – הנתבעת הינה בעלת תפקיד ציבורי, היא מנהלת הסדר שהוקם על מנת למנוע מצב בו אדם לא יכול להוציא פוליסת ביטוח לכיסוי פגיעות גוף בשל שימוש ברכב מנועי, היא נועדה למנוע מנוהגים לנהוג בניגוד לחוק, היא משווקת ישירות את הפוליסות ולכן הינה משמשת גם כ"סוכן ביטוח" וחוזר 2014 הוחל עליה במפורש ומטיל עליה חובת הודעה. ומשכך הנטל עליה </w:t>
      </w:r>
      <w:r>
        <w:rPr>
          <w:rFonts w:ascii="David" w:hAnsi="David" w:cs="David"/>
          <w:sz w:val="24"/>
          <w:szCs w:val="24"/>
          <w:rtl/>
        </w:rPr>
        <w:lastRenderedPageBreak/>
        <w:t>להראות כי פעלה בהתאם להוראות החוזר ומסרה הודעה למבוטח על סיום מועד תקופת הביטוח וכי באחריות בעל הפוליסה לחדש אותה.</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חוזר 2014 לא קובע מה היא הדרך לשלוח את ההודעה. אמצעי התקשורת (כיום) הינם רבים ומגוונים. ניתן להשתמש בדואר רגיל, ניתן להשתמש בדואר רשום, ניתן להשתמש בדואר שליחים, ניתן להשתמש במשלוח מסרונים, ניתן להתקשר למבוטח (בין אם באמצעות חייגן אוטומטי או באמצעות עובד), ניתן להשתמש בדואר אלקטרוני, דרך אפליקציות ועוד דרכים שנוצרות מדי יום.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ניתן לראות בעניין שומרה הנ"ל (פסקה 14) שדרכי הקשר שננקטו היו מגוונים (משלוח דואר, משלוח מסרון ושיחה טלפונית), ניתן לראות גם בעניין חנה תורגמן (פסקה 10) כי נעשו ניסיונות במספר דרכים (משלוח דואר, משלוח מסרונים וכן שיחות טלפון). הרעיון הוא שכאשר מוטלת חובה יש לקיים אותה בדרך אפקטיבית.</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משלוח מכתב אחד, בדואר רגיל, ממערכת ממוכנת אינה דרך אפקטיבית. ראשית, כלל לא ברור האם המכתב נשלח (אין לכך ראיה), לא ניתן לוודא קבלתו של המכתב (שכן אין מעקב אחר נתיב המשלוח שלו). ולכן יש לקבוע כי אין במשלוח מכתב אחד, בדואר רגיל, כדי לעמוד בהוראות חוזר 2014 ולראות בנתבעת כמי שהודיעה למבוטח.</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אין מקום לחייב את הנתבעת להודיע באמצעות משלוח על ידי שליח בלבד, ולא בכדי טופס ההצעה לביטוח כולל מספר דרכים ליצירת קשר עם התובע. ועדיין החובה היא של הנתבעת לקחת פרטים אלו בטרם היא מנפיקה את הפוליסה. אם הייתה עושה כן, ניתן היה להודיע לתובע במספר דרכים ובכך לעמוד בחובה שמטיל חוזר 2014.</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מעבר לכל הנאמר לעיל, במקרה שלפני כלל לא ניתן לראות במכתב שצורף, יחד עם עדות החתמת, הוכחה כי המכתב כלל נשלח, שכן היא לא עוסקת בזה, לא יכלה להציג כל אסמכתא לעצם המשלוח, והיא העידה רק על נהלים. לכל הפחות היה מקום להעיד את עובד בית הדפוס בעניין זה (דבר שלא נעשה).</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לפיכך אני קובע כי הנתבעת לא הוכיחה את עצם המשלוח, וכי גם אם היה מוכח המשלוח לא ניתן לראות במכתב אחד, בדואר רגיל, כהודעה מספיקה. יוער כי קביעה זו נכונה לנתבעת כמי שלמעשה עובדת שלא דרך סוכן ביטוח, שכן לו היה סוכן ביטוח מעורב היה ניתן לראות בהודעה לסוכן (כשלוח של המבוטח) כהודעה מספיקה (ואז היו דנים בחבות הסוכן, כפי שנעשה </w:t>
      </w:r>
      <w:r>
        <w:rPr>
          <w:rFonts w:ascii="Miriam" w:hAnsi="Miriam" w:cs="Miriam"/>
          <w:sz w:val="24"/>
          <w:szCs w:val="24"/>
          <w:rtl/>
        </w:rPr>
        <w:t>בעניין בהא סייף</w:t>
      </w:r>
      <w:r>
        <w:rPr>
          <w:rFonts w:ascii="David" w:hAnsi="David" w:cs="David"/>
          <w:sz w:val="24"/>
          <w:szCs w:val="24"/>
          <w:rtl/>
        </w:rPr>
        <w:t>).</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אולם אחריות הנתבעת אינה אחריות מוחלטת. גם לתובע יש חלק באחריות זו. עניין זה נובע משתי עובדות:-</w:t>
      </w:r>
    </w:p>
    <w:p w:rsidR="00A541FB" w:rsidRDefault="00A541FB" w:rsidP="00A541FB">
      <w:pPr>
        <w:pStyle w:val="a9"/>
        <w:rPr>
          <w:rFonts w:ascii="David" w:hAnsi="David" w:cs="David"/>
          <w:sz w:val="24"/>
          <w:szCs w:val="24"/>
        </w:rPr>
      </w:pPr>
    </w:p>
    <w:p w:rsidR="00A541FB" w:rsidRDefault="00A541FB" w:rsidP="00A541FB">
      <w:pPr>
        <w:pStyle w:val="a9"/>
        <w:numPr>
          <w:ilvl w:val="1"/>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החבות להחזקת פוליסת הביטוח הינה חבות מכוח פקודת ביטוח רכב מנועי, בכך שהתובע נהג ללא ביטוח הוא למעשה עבר עבירה שסנקציה פלילית בגינה;</w:t>
      </w:r>
    </w:p>
    <w:p w:rsidR="00A541FB" w:rsidRPr="00F5324A" w:rsidRDefault="00A541FB" w:rsidP="00F5324A">
      <w:pPr>
        <w:pStyle w:val="a9"/>
        <w:numPr>
          <w:ilvl w:val="1"/>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sidRPr="00F5324A">
        <w:rPr>
          <w:rFonts w:ascii="David" w:hAnsi="David" w:cs="David"/>
          <w:sz w:val="24"/>
          <w:szCs w:val="24"/>
          <w:rtl/>
        </w:rPr>
        <w:lastRenderedPageBreak/>
        <w:t>התובע שינה כתובת, הדבר נעשה במהלך תקופת הפוליסה. התובע לא חשב לעדכן את הנתבעת (ולא הראה כי עשה שירותי "עקוב אחרי" בדואר).</w:t>
      </w: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 xml:space="preserve">מטרת חוזר 2014 אינה מפחיתה מחובתו של כל נוהג רכב לוודא כי קיים ביטוח חובה שמכסה נהיגתו. עשיית הביטוח אינה "שגר ושכח", ולא ניתן להסיר האחריות מהתובע. יתרה מזאת, אם מבוטח מעוניין שחברת הביטוח </w:t>
      </w:r>
      <w:proofErr w:type="spellStart"/>
      <w:r>
        <w:rPr>
          <w:rFonts w:ascii="David" w:hAnsi="David" w:cs="David"/>
          <w:sz w:val="24"/>
          <w:szCs w:val="24"/>
          <w:rtl/>
        </w:rPr>
        <w:t>תתזכר</w:t>
      </w:r>
      <w:proofErr w:type="spellEnd"/>
      <w:r>
        <w:rPr>
          <w:rFonts w:ascii="David" w:hAnsi="David" w:cs="David"/>
          <w:sz w:val="24"/>
          <w:szCs w:val="24"/>
          <w:rtl/>
        </w:rPr>
        <w:t xml:space="preserve"> אותו עליו לוודא כי בידה יש אפשרויות ליצור עמו קשר זולת כתובת בית הוריו (ולראיה, לנתבעת לא היו כתובתו של התובע ששונתה, לא מספר טלפון שלו ולא כתובת אלקטרונית).</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כפי שמציין כב' השופט חיימוביץ בעניין חנה תורגמן הנ"ל, הסרת האחריות מכתפי המבוטחים מייצרת תמריץ שלילי שיש למנוע אותו. כאשר אני לוקח בחשבון את החובה של הנתבעת שלא קוימה (ולא הוכח כי נעשה ניסיון לקיימה) מחד, למול חובתו של התובע לוודא שיש בידו תעודת ביטוח בת תוקף ואשר סיפק לנתבעת רק כתבות דואר (שגם בה כבר לא התגורר בעת התאונה) מצאתי לנכון, להפחית 15% אשם תורם (שכן בעניין חנה תורגמן הנ"ל, נעשו מספר ניסיונות כולל בשיחות טלפון ומסרונים ואז נוכה שליש)</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בכל הקשור להוכחת עצם קרות התאונה, מצאתי לנכון לקבל את עדות התובע, אשר לא ניסה להאדיר את הנסיבות, תיאר אותן באותה הדרך מהמסמך הרפואי הראשון, דרך התביעה לביטוח הלאומי ועד לאולם בית המשפט. ולכן על אף שמדובר בעדות יחדיה של בעל דין מצאתי לנכון לקבוע כי התאונה אכן התרחשה.</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לפיכך הנני קובע כי התאונה התרחשה, כי הנתבעת לא פעלה כנדרש ולכן היא חבה בתשלום פיצויים מכוח פקודת </w:t>
      </w:r>
      <w:proofErr w:type="spellStart"/>
      <w:r>
        <w:rPr>
          <w:rFonts w:ascii="David" w:hAnsi="David" w:cs="David"/>
          <w:sz w:val="24"/>
          <w:szCs w:val="24"/>
          <w:rtl/>
        </w:rPr>
        <w:t>הנזיקין</w:t>
      </w:r>
      <w:proofErr w:type="spellEnd"/>
      <w:r>
        <w:rPr>
          <w:rFonts w:ascii="David" w:hAnsi="David" w:cs="David"/>
          <w:sz w:val="24"/>
          <w:szCs w:val="24"/>
          <w:rtl/>
        </w:rPr>
        <w:t xml:space="preserve"> וכי יש להפחית אשר תורם בשיעור 15%.</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Miriam" w:hAnsi="Miriam" w:cs="Miriam"/>
          <w:sz w:val="24"/>
          <w:szCs w:val="24"/>
        </w:rPr>
      </w:pPr>
      <w:r>
        <w:rPr>
          <w:rFonts w:ascii="Miriam" w:hAnsi="Miriam" w:cs="Miriam"/>
          <w:sz w:val="24"/>
          <w:szCs w:val="24"/>
          <w:rtl/>
        </w:rPr>
        <w:t>שאלת הנזק</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tl/>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בהתאם להסכמת הצדדים, שאלת הנזק בתיק תתברר בהתאם לחוק הפיצויים, כולל דרך חישוב הנזקים. </w:t>
      </w:r>
    </w:p>
    <w:p w:rsidR="00A541FB" w:rsidRDefault="00A541FB" w:rsidP="00A541FB">
      <w:pPr>
        <w:pStyle w:val="a9"/>
        <w:tabs>
          <w:tab w:val="left" w:pos="567"/>
          <w:tab w:val="left" w:pos="1134"/>
          <w:tab w:val="left" w:pos="1701"/>
          <w:tab w:val="left" w:pos="2268"/>
          <w:tab w:val="left" w:pos="2835"/>
        </w:tabs>
        <w:spacing w:before="160" w:line="360" w:lineRule="auto"/>
        <w:ind w:left="0"/>
        <w:jc w:val="both"/>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Pr>
      </w:pPr>
      <w:r>
        <w:rPr>
          <w:rFonts w:ascii="David" w:hAnsi="David" w:cs="David"/>
          <w:sz w:val="24"/>
          <w:szCs w:val="24"/>
          <w:rtl/>
        </w:rPr>
        <w:t>עיקר הדיון התמקד בשאלת החבות. בשאלת הנזק הצדדים לא הרחיבו בעדויות (ולמעשה הפנו לתחשיבי הנזק שהגישו).</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מהחומר הרפואי ומעדות התובע עולה כי מדובר היה בתקופת החלמה של חצי שנה (עמ' 7, שורות 17-18), התובע מטופל באינסולין עקב מחלת הסוכרת אם כי לטענתו הדבר לא משפיע עליו (עמ' 13, שורות 18-20). הוא מנהל עסק לגלידות, מעסיק כיום שלושה עובדים (עמ' 13, שורה 26). בדיון שהתקיים ביום 27.4.22 טען כי באותה עת החל להרחיב את העסק ולטענתו התאונה עיכבה זאת, כי רק בשנת 2019 החל למשוך משכורות מהעסק (עמ' 1, שורת 5-10).</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יוער כי בדיון שהתקיים ביום 27.4.22 הבהרתי לתובע שיש קושי לקבוע ממצאים על סמך המסמכים שהוגשו ועל כן התובע הודיע כי יתכן ויעיד מטעמו את רואה החשבון (עמ' 2, שורה 20). אולם בפועל רואה החשבון לא הוזמן (וגם הנתבעת הודיעה שהיא מוותרת על חקירתו על המסמך </w:t>
      </w:r>
      <w:r>
        <w:rPr>
          <w:rFonts w:ascii="David" w:hAnsi="David" w:cs="David"/>
          <w:sz w:val="24"/>
          <w:szCs w:val="24"/>
          <w:rtl/>
        </w:rPr>
        <w:lastRenderedPageBreak/>
        <w:t>שהגיש (עמ' 6, שורה 2) אם כי טענה שאין כל משקל למסמכים שהוגשו בתיק המוצגים (עמ' 34-40 לתיק מוצגי התובע).</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הנתבעת צודקת שלא ניתן ללמוד מכרטסת הנהלת החשבונות שצורפה דבר זולת ירידה בהיקף של 20,000 ₪ במכירת גלידות בחודש יוני 2018 למול יוני 2017. מנגד ניתן לראות כי יש ירידה כוללת בשנת 2019 למול שנת 2017 שאינה מוסברת (שכן התובע ציין תקופת החלמה של חצי שנה).</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תפקידו של התובע הינו ניהולי, התובע לא הבהיר מדוע הפגיעה רגל מונעת ממנו לנהל. התובע חזר לנהוג על אופנוע (אומנם לטענתו רק בשנת 2020) ומשכך ניתן לראות כי התפקוד לא נהרס לחלוטין.</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גם משומות המס שהגיש התובע ניתן לראות כי שכר שנת 2019 (237,599 ₪ בניכוי מס בשיעור 9,814 ₪) היה גבוה משכר שנת 2017 (212,817 ₪ בניכוי מס בשיעור 1,969 ₪). משכך ניתן לראות, כי בפועל התובע הצליח לחזור לרמות הכנסתו לפני התאונה.</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הנכות הינה 19% הן בגלל הצלקת והן בגלל העיוות אולם למעשה העיוות הינו תולדה של הצלקת. ההשלכה התפקודית הינה אחת. עבודת התובע אינה מחייבת עמידה מלאה על הרגלים, התובע ממשיך לנהל ולהתנייד (כולל על אופנוע). מנגד, העיוות מקשה על עמידה, כן מקשה על הניידות והכאב מסיח את הדעת (וגם הנתבעת לא חקרה על כך) ולכן יש משמעות תפקודית גם לפגיעה זו.</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כפי שנקבע </w:t>
      </w:r>
      <w:proofErr w:type="spellStart"/>
      <w:r>
        <w:rPr>
          <w:rFonts w:ascii="David" w:hAnsi="David" w:cs="David"/>
          <w:sz w:val="24"/>
          <w:szCs w:val="24"/>
          <w:rtl/>
        </w:rPr>
        <w:t>ברע"א</w:t>
      </w:r>
      <w:proofErr w:type="spellEnd"/>
      <w:r>
        <w:rPr>
          <w:rFonts w:ascii="David" w:hAnsi="David" w:cs="David"/>
          <w:sz w:val="24"/>
          <w:szCs w:val="24"/>
          <w:rtl/>
        </w:rPr>
        <w:t xml:space="preserve"> 6572/21 </w:t>
      </w:r>
      <w:r>
        <w:rPr>
          <w:rFonts w:ascii="Miriam" w:hAnsi="Miriam" w:cs="Miriam"/>
          <w:sz w:val="24"/>
          <w:szCs w:val="24"/>
          <w:rtl/>
        </w:rPr>
        <w:t>המאגר הישראלי לביטוחי רכב (הפול) נ' פלוני</w:t>
      </w:r>
      <w:r>
        <w:rPr>
          <w:rFonts w:ascii="David" w:hAnsi="David" w:cs="David"/>
          <w:sz w:val="24"/>
          <w:szCs w:val="24"/>
          <w:rtl/>
        </w:rPr>
        <w:t xml:space="preserve"> (2021) אין מקום בתיק זה לקביעת זהות בין הנכות הרפואית לתפקודית. כאמור יש זהות בין הצלקת לבין העיוות בכף הרגל, ההליך כלל זיהומים והיה הליך החלמה ארוך שחייב גם הטריות והשתלת עור. לכן יש לקובע כי קיימת פגיעה תפקודית  הן בגין הצלקת והן בגין העיוות אולם היא אינה בשיעור מלא.</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באשר לבסיס השכר לעתיד – הנתון האחרון שהציג התובע היה לשנת 2019, בשנת 2020 פרץ משבר הקורונה שפגע בהכנסות התובע ולכן אין לקחת אותו בחשבון. גם גמלאות הביטוח הלאומי (שמבוססות על מקדמות ששולמו כעצמאי) לא מהוות אינדיקציה. לכן בסיס השכר לעתיד יהיה השכר בשנת 2019 שעומד על סך נטו של 277,285 ₪ או 19,000 ₪ לחודש (מעוגל).</w:t>
      </w:r>
    </w:p>
    <w:p w:rsidR="00A541FB" w:rsidRDefault="00A541FB" w:rsidP="00A541FB">
      <w:pPr>
        <w:pStyle w:val="a9"/>
        <w:rPr>
          <w:rFonts w:ascii="David" w:hAnsi="David" w:cs="David"/>
          <w:sz w:val="24"/>
          <w:szCs w:val="24"/>
        </w:rPr>
      </w:pPr>
    </w:p>
    <w:p w:rsidR="00A541FB" w:rsidRPr="001F202D" w:rsidRDefault="00A541FB" w:rsidP="00A541FB">
      <w:pPr>
        <w:pStyle w:val="a9"/>
        <w:tabs>
          <w:tab w:val="left" w:pos="567"/>
          <w:tab w:val="left" w:pos="1134"/>
          <w:tab w:val="left" w:pos="1701"/>
          <w:tab w:val="left" w:pos="2268"/>
          <w:tab w:val="left" w:pos="2835"/>
        </w:tabs>
        <w:spacing w:before="160" w:line="360" w:lineRule="auto"/>
        <w:ind w:left="0"/>
        <w:jc w:val="both"/>
        <w:rPr>
          <w:rFonts w:ascii="Miriam" w:hAnsi="Miriam" w:cs="Miriam"/>
          <w:sz w:val="24"/>
          <w:szCs w:val="24"/>
          <w:rtl/>
        </w:rPr>
      </w:pPr>
      <w:r w:rsidRPr="001F202D">
        <w:rPr>
          <w:rFonts w:ascii="Miriam" w:hAnsi="Miriam" w:cs="Miriam"/>
          <w:sz w:val="24"/>
          <w:szCs w:val="24"/>
          <w:rtl/>
        </w:rPr>
        <w:t>לפיכך הנני קובע את הנזקים כדלקמן</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כאב וסבל – </w:t>
      </w:r>
      <w:r>
        <w:rPr>
          <w:rFonts w:ascii="Miriam" w:hAnsi="Miriam" w:cs="Miriam"/>
          <w:sz w:val="24"/>
          <w:szCs w:val="24"/>
          <w:rtl/>
        </w:rPr>
        <w:t xml:space="preserve">לפי תקנות פיצויים לנפגעי תאונות דרכים (חישוב פיצויים בשל נזק שאינו נזק ממון), </w:t>
      </w:r>
      <w:proofErr w:type="spellStart"/>
      <w:r>
        <w:rPr>
          <w:rFonts w:ascii="Miriam" w:hAnsi="Miriam" w:cs="Miriam"/>
          <w:sz w:val="24"/>
          <w:szCs w:val="24"/>
          <w:rtl/>
        </w:rPr>
        <w:t>התשל"ו</w:t>
      </w:r>
      <w:proofErr w:type="spellEnd"/>
      <w:r>
        <w:rPr>
          <w:rFonts w:ascii="Miriam" w:hAnsi="Miriam" w:cs="Miriam"/>
          <w:sz w:val="24"/>
          <w:szCs w:val="24"/>
          <w:rtl/>
        </w:rPr>
        <w:t xml:space="preserve"> – 1976</w:t>
      </w:r>
      <w:r>
        <w:rPr>
          <w:rFonts w:ascii="David" w:hAnsi="David" w:cs="David"/>
          <w:sz w:val="24"/>
          <w:szCs w:val="24"/>
          <w:rtl/>
        </w:rPr>
        <w:t xml:space="preserve"> – </w:t>
      </w:r>
      <w:r>
        <w:rPr>
          <w:rFonts w:ascii="David" w:hAnsi="David" w:cs="David"/>
          <w:b/>
          <w:bCs/>
          <w:sz w:val="24"/>
          <w:szCs w:val="24"/>
          <w:rtl/>
        </w:rPr>
        <w:t>32,000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הפסדי שכר/עבר – יש להכיר בהפסדים לפי הדו"ח השנתי של שנת 2018 (187,749 ₪ נטו) למול שנת 2017 (210,852 ₪ נטו) – </w:t>
      </w:r>
      <w:r w:rsidRPr="001F202D">
        <w:rPr>
          <w:rFonts w:ascii="David" w:hAnsi="David" w:cs="David"/>
          <w:b/>
          <w:bCs/>
          <w:sz w:val="24"/>
          <w:szCs w:val="24"/>
          <w:rtl/>
        </w:rPr>
        <w:t>23,000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lastRenderedPageBreak/>
        <w:t xml:space="preserve">הפסדי כושר השתכרות/עתיד – יש להבחין בין הפגיעה התפקודית לגריעה מכושר ההשתכרות. הפגיעה התפקודית גבוה מהגריעה בכושר ההשתכרות ולראיה הכנסות התובע עלו, העסק מתרחב (כיום כבר 3 עובדים). בנסיבות אלו, טענת התובע (שהפנה לתחשיב מטעמו) להפסד חודשי לפי 470 ₪ (שהינה כ3% מהכנסתו) הינה סבירה ואני מקבל אותה ומשכך ההפסד (עד לגיל 70, כעצמאי) </w:t>
      </w:r>
      <w:r>
        <w:rPr>
          <w:rFonts w:ascii="David" w:hAnsi="David" w:cs="David"/>
          <w:b/>
          <w:bCs/>
          <w:sz w:val="24"/>
          <w:szCs w:val="24"/>
          <w:rtl/>
        </w:rPr>
        <w:t>הינו 85,000 ₪</w:t>
      </w:r>
      <w:r>
        <w:rPr>
          <w:rFonts w:ascii="David" w:hAnsi="David" w:cs="David"/>
          <w:sz w:val="24"/>
          <w:szCs w:val="24"/>
          <w:rtl/>
        </w:rPr>
        <w:t>. אין מקום לחישוב בגין הפסדי פנסיה שכן התובע כעצמאי אמור להפריש לפנסיה מכיסו.</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עזרה וסיעוד – בהעדר ראיות, או כל טיעון שמבהיר היכן הקושי מחד, ומאידך הואיל וקיים קושי לעמוד על הרגל ותקופת ההחלמה </w:t>
      </w:r>
      <w:proofErr w:type="spellStart"/>
      <w:r>
        <w:rPr>
          <w:rFonts w:ascii="David" w:hAnsi="David" w:cs="David"/>
          <w:sz w:val="24"/>
          <w:szCs w:val="24"/>
          <w:rtl/>
        </w:rPr>
        <w:t>היתה</w:t>
      </w:r>
      <w:proofErr w:type="spellEnd"/>
      <w:r>
        <w:rPr>
          <w:rFonts w:ascii="David" w:hAnsi="David" w:cs="David"/>
          <w:sz w:val="24"/>
          <w:szCs w:val="24"/>
          <w:rtl/>
        </w:rPr>
        <w:t xml:space="preserve"> ארוכה וכללה פעולות כירורגיות – </w:t>
      </w:r>
      <w:r w:rsidRPr="001F202D">
        <w:rPr>
          <w:rFonts w:ascii="David" w:hAnsi="David" w:cs="David"/>
          <w:b/>
          <w:bCs/>
          <w:sz w:val="24"/>
          <w:szCs w:val="24"/>
          <w:rtl/>
        </w:rPr>
        <w:t>25,000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הוצאות (רפואית ונסיעות)  לא הוצגה כל הוצאה, סבר כי התובע נזקק לנסיעות בתקופת ההחלמה – </w:t>
      </w:r>
      <w:r w:rsidRPr="001F202D">
        <w:rPr>
          <w:rFonts w:ascii="David" w:hAnsi="David" w:cs="David"/>
          <w:b/>
          <w:bCs/>
          <w:sz w:val="24"/>
          <w:szCs w:val="24"/>
          <w:rtl/>
        </w:rPr>
        <w:t>2,000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 xml:space="preserve">ניכוי ביטוח לאומי – בהתאם למסמכים שהוצגו – </w:t>
      </w:r>
      <w:r w:rsidRPr="001F202D">
        <w:rPr>
          <w:rFonts w:ascii="David" w:hAnsi="David" w:cs="David"/>
          <w:b/>
          <w:bCs/>
          <w:sz w:val="24"/>
          <w:szCs w:val="24"/>
          <w:rtl/>
        </w:rPr>
        <w:t>26,005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סה"כ נזקי התובע עומדים על כן על 167,000 ₪. מהם יש לנכות 15% אשם תורם וכן את תגמולי הביטוח הלאומי, כך ש</w:t>
      </w:r>
      <w:r w:rsidRPr="001F202D">
        <w:rPr>
          <w:rFonts w:ascii="David" w:hAnsi="David" w:cs="David"/>
          <w:b/>
          <w:bCs/>
          <w:sz w:val="24"/>
          <w:szCs w:val="24"/>
          <w:u w:val="single"/>
          <w:rtl/>
        </w:rPr>
        <w:t>הסכום לתשלום הינו 115,945 ₪.</w:t>
      </w:r>
    </w:p>
    <w:p w:rsidR="00A541FB" w:rsidRDefault="00A541FB" w:rsidP="00A541FB">
      <w:pPr>
        <w:pStyle w:val="a9"/>
        <w:rPr>
          <w:rFonts w:ascii="David" w:hAnsi="David" w:cs="David"/>
          <w:sz w:val="24"/>
          <w:szCs w:val="24"/>
        </w:rPr>
      </w:pPr>
    </w:p>
    <w:p w:rsidR="00A541FB"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sz w:val="24"/>
          <w:szCs w:val="24"/>
          <w:rtl/>
        </w:rPr>
      </w:pPr>
      <w:r>
        <w:rPr>
          <w:rFonts w:ascii="David" w:hAnsi="David" w:cs="David"/>
          <w:sz w:val="24"/>
          <w:szCs w:val="24"/>
          <w:rtl/>
        </w:rPr>
        <w:t>בכל הקשור לשכר טרחת עו"ד,  לאור הסכמת הצדדים ולפיה התיק ינוהל לפי הוראות חוק הפיצויים, מצאתי לנכון לפסוק שכ"ט עו"ד בהתאם להוראות החוק בסך 15.21% (כולל מע"מ), וכן לחייב בהחזר הוצאות אגרה וכן הוצאות משפט בסך 2,000 ₪ (אשר יקוזזו למול החיוב של התובע בהוצאות מיום 27.4.22, שטרם שולם).</w:t>
      </w:r>
    </w:p>
    <w:p w:rsidR="00A541FB" w:rsidRDefault="00A541FB" w:rsidP="00A541FB">
      <w:pPr>
        <w:pStyle w:val="a9"/>
        <w:rPr>
          <w:rFonts w:ascii="David" w:hAnsi="David" w:cs="David"/>
          <w:sz w:val="24"/>
          <w:szCs w:val="24"/>
        </w:rPr>
      </w:pPr>
    </w:p>
    <w:p w:rsidR="00A541FB" w:rsidRPr="001F202D" w:rsidRDefault="00A541FB" w:rsidP="00A541FB">
      <w:pPr>
        <w:pStyle w:val="a9"/>
        <w:numPr>
          <w:ilvl w:val="0"/>
          <w:numId w:val="1"/>
        </w:numPr>
        <w:tabs>
          <w:tab w:val="left" w:pos="567"/>
          <w:tab w:val="left" w:pos="1134"/>
          <w:tab w:val="left" w:pos="1701"/>
          <w:tab w:val="left" w:pos="2268"/>
          <w:tab w:val="left" w:pos="2835"/>
        </w:tabs>
        <w:spacing w:before="160" w:line="360" w:lineRule="auto"/>
        <w:jc w:val="both"/>
        <w:rPr>
          <w:rFonts w:ascii="David" w:hAnsi="David" w:cs="David"/>
          <w:b/>
          <w:bCs/>
          <w:sz w:val="24"/>
          <w:szCs w:val="24"/>
          <w:rtl/>
        </w:rPr>
      </w:pPr>
      <w:r w:rsidRPr="001F202D">
        <w:rPr>
          <w:rFonts w:ascii="David" w:hAnsi="David" w:cs="David"/>
          <w:b/>
          <w:bCs/>
          <w:sz w:val="24"/>
          <w:szCs w:val="24"/>
          <w:rtl/>
        </w:rPr>
        <w:t>לסיכום, הנתבעת תשלם לתובע סך של 115,945 ₪ בצירוף שכ"ט עו"ד בשיעור 15.21% והחזר האגרה ששולמה.</w:t>
      </w:r>
    </w:p>
    <w:p w:rsidR="00A541FB" w:rsidRDefault="00A541FB" w:rsidP="00A541FB">
      <w:pPr>
        <w:pStyle w:val="a9"/>
        <w:rPr>
          <w:rFonts w:ascii="David" w:hAnsi="David" w:cs="David"/>
          <w:sz w:val="24"/>
          <w:szCs w:val="24"/>
        </w:rPr>
      </w:pPr>
    </w:p>
    <w:p w:rsidR="00A541FB" w:rsidRDefault="00A541FB" w:rsidP="00A541FB">
      <w:pPr>
        <w:pStyle w:val="a9"/>
        <w:tabs>
          <w:tab w:val="left" w:pos="567"/>
          <w:tab w:val="left" w:pos="1134"/>
          <w:tab w:val="left" w:pos="1701"/>
          <w:tab w:val="left" w:pos="2268"/>
          <w:tab w:val="left" w:pos="2835"/>
        </w:tabs>
        <w:spacing w:before="160" w:line="360" w:lineRule="auto"/>
        <w:ind w:left="567"/>
        <w:jc w:val="both"/>
        <w:rPr>
          <w:rFonts w:ascii="David" w:hAnsi="David" w:cs="David"/>
          <w:b/>
          <w:bCs/>
          <w:sz w:val="24"/>
          <w:szCs w:val="24"/>
          <w:rtl/>
        </w:rPr>
      </w:pPr>
      <w:r>
        <w:rPr>
          <w:rFonts w:ascii="David" w:hAnsi="David" w:cs="David"/>
          <w:b/>
          <w:bCs/>
          <w:sz w:val="24"/>
          <w:szCs w:val="24"/>
          <w:rtl/>
        </w:rPr>
        <w:t>המזכירות תשלח את פס"ד לצדדים בדואר רשום עם אישור מסירה</w:t>
      </w:r>
    </w:p>
    <w:p w:rsidR="00A541FB" w:rsidRDefault="00A541FB" w:rsidP="00A541FB">
      <w:pPr>
        <w:pStyle w:val="a9"/>
        <w:tabs>
          <w:tab w:val="left" w:pos="567"/>
          <w:tab w:val="left" w:pos="1134"/>
          <w:tab w:val="left" w:pos="1701"/>
          <w:tab w:val="left" w:pos="2268"/>
          <w:tab w:val="left" w:pos="2835"/>
        </w:tabs>
        <w:spacing w:before="160" w:line="360" w:lineRule="auto"/>
        <w:ind w:left="567"/>
        <w:jc w:val="both"/>
        <w:rPr>
          <w:rFonts w:ascii="David" w:hAnsi="David" w:cs="David"/>
          <w:b/>
          <w:bCs/>
          <w:sz w:val="24"/>
          <w:szCs w:val="24"/>
        </w:rPr>
      </w:pPr>
      <w:r>
        <w:rPr>
          <w:rFonts w:ascii="David" w:hAnsi="David" w:cs="David"/>
          <w:b/>
          <w:bCs/>
          <w:sz w:val="24"/>
          <w:szCs w:val="24"/>
          <w:rtl/>
        </w:rPr>
        <w:t>זכות ערעור לבית המשפט המחוזי בהתאם לתקנות.</w:t>
      </w:r>
    </w:p>
    <w:p w:rsidR="00A541FB" w:rsidRDefault="00A541FB" w:rsidP="00A541FB">
      <w:pPr>
        <w:spacing w:line="360" w:lineRule="auto"/>
        <w:jc w:val="both"/>
        <w:rPr>
          <w:rFonts w:ascii="Arial" w:hAnsi="Arial"/>
          <w:noProof w:val="0"/>
          <w:rtl/>
        </w:rPr>
      </w:pPr>
      <w:r>
        <w:rPr>
          <w:rFonts w:ascii="Arial" w:hAnsi="Arial"/>
          <w:noProof w:val="0"/>
          <w:rtl/>
        </w:rPr>
        <w:t xml:space="preserve">ניתן היום,  </w:t>
      </w:r>
      <w:sdt>
        <w:sdtPr>
          <w:rPr>
            <w:rtl/>
          </w:rPr>
          <w:alias w:val="1455"/>
          <w:tag w:val="1455"/>
          <w:id w:val="242217728"/>
          <w:text w:multiLine="1"/>
        </w:sdtPr>
        <w:sdtContent>
          <w:r>
            <w:rPr>
              <w:rFonts w:ascii="Arial" w:hAnsi="Arial"/>
              <w:noProof w:val="0"/>
              <w:rtl/>
            </w:rPr>
            <w:t>ג' שבט תשפ"ג</w:t>
          </w:r>
        </w:sdtContent>
      </w:sdt>
      <w:r>
        <w:rPr>
          <w:rFonts w:ascii="Arial" w:hAnsi="Arial"/>
          <w:noProof w:val="0"/>
          <w:rtl/>
        </w:rPr>
        <w:t xml:space="preserve">, </w:t>
      </w:r>
      <w:sdt>
        <w:sdtPr>
          <w:rPr>
            <w:rtl/>
          </w:rPr>
          <w:alias w:val="1456"/>
          <w:tag w:val="1456"/>
          <w:id w:val="-1101635932"/>
          <w:text w:multiLine="1"/>
        </w:sdtPr>
        <w:sdtContent>
          <w:r>
            <w:rPr>
              <w:rFonts w:ascii="Arial" w:hAnsi="Arial"/>
              <w:noProof w:val="0"/>
              <w:rtl/>
            </w:rPr>
            <w:t>25 ינואר 2023</w:t>
          </w:r>
        </w:sdtContent>
      </w:sdt>
      <w:r>
        <w:rPr>
          <w:rFonts w:ascii="Arial" w:hAnsi="Arial"/>
          <w:noProof w:val="0"/>
          <w:rtl/>
        </w:rPr>
        <w:t>, בהעדר הצדדים.</w:t>
      </w:r>
    </w:p>
    <w:p w:rsidR="00A541FB" w:rsidRPr="00B435FB" w:rsidRDefault="00A541FB" w:rsidP="00A541FB">
      <w:pPr>
        <w:spacing w:line="360" w:lineRule="auto"/>
        <w:jc w:val="both"/>
        <w:rPr>
          <w:rtl/>
        </w:rPr>
      </w:pPr>
      <w:r>
        <w:rPr>
          <w:rFonts w:ascii="Arial" w:hAnsi="Arial" w:hint="cs"/>
          <w:noProof w:val="0"/>
          <w:rtl/>
        </w:rPr>
        <w:tab/>
      </w:r>
      <w:r>
        <w:rPr>
          <w:rFonts w:ascii="Arial" w:hAnsi="Arial" w:hint="cs"/>
          <w:noProof w:val="0"/>
          <w:rtl/>
        </w:rPr>
        <w:tab/>
      </w:r>
      <w:r>
        <w:rPr>
          <w:rFonts w:ascii="Arial" w:hAnsi="Arial" w:hint="cs"/>
          <w:noProof w:val="0"/>
          <w:rtl/>
        </w:rPr>
        <w:tab/>
      </w:r>
      <w:r>
        <w:rPr>
          <w:rFonts w:ascii="Arial" w:hAnsi="Arial" w:hint="cs"/>
          <w:noProof w:val="0"/>
          <w:rtl/>
        </w:rPr>
        <w:tab/>
      </w:r>
      <w:r>
        <w:rPr>
          <w:rFonts w:ascii="Arial" w:hAnsi="Arial" w:hint="cs"/>
          <w:noProof w:val="0"/>
          <w:rtl/>
        </w:rPr>
        <w:tab/>
      </w:r>
      <w:r>
        <w:rPr>
          <w:rFonts w:ascii="Arial" w:hAnsi="Arial"/>
          <w:noProof w:val="0"/>
          <w:rtl/>
        </w:rPr>
        <w:tab/>
      </w:r>
      <w:sdt>
        <w:sdtPr>
          <w:rPr>
            <w:rFonts w:hint="cs"/>
            <w:rtl/>
          </w:rPr>
          <w:alias w:val="2045"/>
          <w:tag w:val="2045"/>
          <w:id w:val="1736736771"/>
          <w:placeholder>
            <w:docPart w:val="5654200A6A084FF1AA2215D2251A74A8"/>
          </w:placeholder>
          <w:showingPlcHdr/>
          <w:text w:multiLine="1"/>
        </w:sdtPr>
        <w:sdtContent/>
      </w:sdt>
      <w:r w:rsidRPr="00B435FB">
        <w:rPr>
          <w:rFonts w:hint="cs"/>
          <w:rtl/>
        </w:rPr>
        <w:tab/>
      </w:r>
      <w:r w:rsidRPr="00B435FB">
        <w:rPr>
          <w:rFonts w:hint="cs"/>
          <w:rtl/>
        </w:rPr>
        <w:tab/>
      </w:r>
      <w:r w:rsidRPr="00B435FB">
        <w:rPr>
          <w:rtl/>
        </w:rPr>
        <w:t xml:space="preserve"> </w:t>
      </w:r>
    </w:p>
    <w:p w:rsidR="00A541FB" w:rsidRDefault="002D04AC" w:rsidP="00A541FB">
      <w:pPr>
        <w:spacing w:line="360" w:lineRule="auto"/>
        <w:ind w:left="3600" w:firstLine="720"/>
      </w:pPr>
      <w:sdt>
        <w:sdtPr>
          <w:rPr>
            <w:rtl/>
          </w:rPr>
          <w:alias w:val="MergeField"/>
          <w:tag w:val="1237"/>
          <w:id w:val="619118963"/>
        </w:sdtPr>
        <w:sdtContent>
          <w:r w:rsidR="00A541FB">
            <w:drawing>
              <wp:inline distT="0" distB="0" distL="0" distR="0" wp14:anchorId="6436B4F2" wp14:editId="21C89E3A">
                <wp:extent cx="1733550" cy="9620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237.jpg"/>
                        <pic:cNvPicPr/>
                      </pic:nvPicPr>
                      <pic:blipFill>
                        <a:blip r:embed="rId7" cstate="print">
                          <a:extLst/>
                        </a:blip>
                        <a:stretch>
                          <a:fillRect/>
                        </a:stretch>
                      </pic:blipFill>
                      <pic:spPr>
                        <a:xfrm>
                          <a:off x="0" y="0"/>
                          <a:ext cx="1733550" cy="962025"/>
                        </a:xfrm>
                        <a:prstGeom prst="rect">
                          <a:avLst/>
                        </a:prstGeom>
                      </pic:spPr>
                    </pic:pic>
                  </a:graphicData>
                </a:graphic>
              </wp:inline>
            </w:drawing>
          </w:r>
        </w:sdtContent>
      </w:sdt>
    </w:p>
    <w:p w:rsidR="00A541FB" w:rsidRDefault="00A541FB" w:rsidP="00A541FB">
      <w:pPr>
        <w:spacing w:line="360" w:lineRule="auto"/>
        <w:ind w:left="3600" w:firstLine="720"/>
        <w:rPr>
          <w:rFonts w:ascii="Arial" w:hAnsi="Arial"/>
          <w:noProof w:val="0"/>
          <w:rtl/>
        </w:rPr>
      </w:pPr>
    </w:p>
    <w:p w:rsidR="00A541FB" w:rsidRDefault="00A541FB" w:rsidP="00A541FB">
      <w:pPr>
        <w:spacing w:line="360" w:lineRule="auto"/>
        <w:jc w:val="both"/>
        <w:rPr>
          <w:rFonts w:ascii="Arial" w:hAnsi="Arial"/>
          <w:noProof w:val="0"/>
          <w:rtl/>
        </w:rPr>
      </w:pPr>
    </w:p>
    <w:p w:rsidR="00A541FB" w:rsidRDefault="00A541FB" w:rsidP="00A541FB">
      <w:pPr>
        <w:spacing w:line="360" w:lineRule="auto"/>
        <w:jc w:val="both"/>
        <w:rPr>
          <w:rFonts w:ascii="Arial" w:hAnsi="Arial"/>
          <w:noProof w:val="0"/>
          <w:rtl/>
        </w:rPr>
      </w:pPr>
    </w:p>
    <w:p w:rsidR="00002AC3" w:rsidRPr="00A53711" w:rsidRDefault="00002AC3" w:rsidP="00A53711">
      <w:pPr>
        <w:rPr>
          <w:rtl/>
        </w:rPr>
      </w:pPr>
    </w:p>
    <w:sectPr w:rsidR="00002AC3" w:rsidRPr="00A53711" w:rsidSect="0058482A">
      <w:footerReference w:type="default" r:id="rId8"/>
      <w:pgSz w:w="11907" w:h="16840" w:code="9"/>
      <w:pgMar w:top="1440" w:right="1800" w:bottom="1440" w:left="1800" w:header="720" w:footer="737" w:gutter="0"/>
      <w:cols w:space="720"/>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64F1" w:rsidRDefault="008864F1" w:rsidP="00A53711">
      <w:r>
        <w:separator/>
      </w:r>
    </w:p>
  </w:endnote>
  <w:endnote w:type="continuationSeparator" w:id="0">
    <w:p w:rsidR="008864F1" w:rsidRDefault="008864F1" w:rsidP="00A537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Arial (W1)">
    <w:altName w:val="Arial"/>
    <w:panose1 w:val="00000000000000000000"/>
    <w:charset w:val="00"/>
    <w:family w:val="swiss"/>
    <w:notTrueType/>
    <w:pitch w:val="variable"/>
    <w:sig w:usb0="00000003" w:usb1="00000000" w:usb2="00000000" w:usb3="00000000" w:csb0="00000001" w:csb1="00000000"/>
  </w:font>
  <w:font w:name="Miriam">
    <w:panose1 w:val="020B0502050101010101"/>
    <w:charset w:val="B1"/>
    <w:family w:val="swiss"/>
    <w:pitch w:val="variable"/>
    <w:sig w:usb0="00000801" w:usb1="00000000" w:usb2="00000000" w:usb3="00000000" w:csb0="0000002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64F1" w:rsidRPr="004E6E3C" w:rsidRDefault="008864F1">
    <w:pPr>
      <w:pStyle w:val="a5"/>
      <w:jc w:val="center"/>
      <w:rPr>
        <w:rStyle w:val="a8"/>
      </w:rPr>
    </w:pPr>
    <w:r w:rsidRPr="004E6E3C">
      <w:rPr>
        <w:rStyle w:val="a8"/>
        <w:rFonts w:cs="Times New Roman"/>
      </w:rPr>
      <w:fldChar w:fldCharType="begin"/>
    </w:r>
    <w:r w:rsidRPr="004E6E3C">
      <w:rPr>
        <w:rStyle w:val="a8"/>
        <w:rFonts w:cs="Times New Roman"/>
      </w:rPr>
      <w:instrText xml:space="preserve"> PAGE </w:instrText>
    </w:r>
    <w:r w:rsidRPr="004E6E3C">
      <w:rPr>
        <w:rStyle w:val="a8"/>
        <w:rFonts w:cs="Times New Roman"/>
      </w:rPr>
      <w:fldChar w:fldCharType="separate"/>
    </w:r>
    <w:r w:rsidR="00110E89">
      <w:rPr>
        <w:rStyle w:val="a8"/>
        <w:rFonts w:cs="Times New Roman"/>
        <w:rtl/>
      </w:rPr>
      <w:t>10</w:t>
    </w:r>
    <w:r w:rsidRPr="004E6E3C">
      <w:rPr>
        <w:rStyle w:val="a8"/>
        <w:rFonts w:cs="Times New Roman"/>
      </w:rPr>
      <w:fldChar w:fldCharType="end"/>
    </w:r>
    <w:r w:rsidRPr="004E6E3C">
      <w:rPr>
        <w:rStyle w:val="a8"/>
        <w:rFonts w:hint="cs"/>
        <w:rtl/>
      </w:rPr>
      <w:t xml:space="preserve"> מתוך </w:t>
    </w:r>
    <w:r w:rsidRPr="004E6E3C">
      <w:rPr>
        <w:rStyle w:val="a8"/>
      </w:rPr>
      <w:fldChar w:fldCharType="begin"/>
    </w:r>
    <w:r w:rsidRPr="004E6E3C">
      <w:rPr>
        <w:rStyle w:val="a8"/>
      </w:rPr>
      <w:instrText xml:space="preserve"> NUMPAGES </w:instrText>
    </w:r>
    <w:r w:rsidRPr="004E6E3C">
      <w:rPr>
        <w:rStyle w:val="a8"/>
      </w:rPr>
      <w:fldChar w:fldCharType="separate"/>
    </w:r>
    <w:r w:rsidR="00110E89">
      <w:rPr>
        <w:rStyle w:val="a8"/>
        <w:rtl/>
      </w:rPr>
      <w:t>10</w:t>
    </w:r>
    <w:r w:rsidRPr="004E6E3C">
      <w:rPr>
        <w:rStyle w:val="a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64F1" w:rsidRDefault="008864F1" w:rsidP="00A53711">
      <w:r>
        <w:separator/>
      </w:r>
    </w:p>
  </w:footnote>
  <w:footnote w:type="continuationSeparator" w:id="0">
    <w:p w:rsidR="008864F1" w:rsidRDefault="008864F1" w:rsidP="00A5371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95334"/>
    <w:multiLevelType w:val="hybridMultilevel"/>
    <w:tmpl w:val="B7F4C4C8"/>
    <w:lvl w:ilvl="0" w:tplc="7F36DD56">
      <w:start w:val="1"/>
      <w:numFmt w:val="decimal"/>
      <w:lvlText w:val="%1."/>
      <w:lvlJc w:val="left"/>
      <w:pPr>
        <w:ind w:left="0" w:firstLine="0"/>
      </w:pPr>
    </w:lvl>
    <w:lvl w:ilvl="1" w:tplc="BE14ABEA">
      <w:start w:val="1"/>
      <w:numFmt w:val="hebrew1"/>
      <w:lvlText w:val="%2."/>
      <w:lvlJc w:val="center"/>
      <w:pPr>
        <w:ind w:left="567" w:firstLine="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4BFF"/>
    <w:rsid w:val="00002AC3"/>
    <w:rsid w:val="00110E89"/>
    <w:rsid w:val="00110FAF"/>
    <w:rsid w:val="00176018"/>
    <w:rsid w:val="0019101E"/>
    <w:rsid w:val="002C2CDE"/>
    <w:rsid w:val="002D04AC"/>
    <w:rsid w:val="0035249F"/>
    <w:rsid w:val="003B6638"/>
    <w:rsid w:val="003E1D00"/>
    <w:rsid w:val="004E5902"/>
    <w:rsid w:val="005643FC"/>
    <w:rsid w:val="0058482A"/>
    <w:rsid w:val="00604BFF"/>
    <w:rsid w:val="008538D8"/>
    <w:rsid w:val="0088602A"/>
    <w:rsid w:val="008864F1"/>
    <w:rsid w:val="008F5E68"/>
    <w:rsid w:val="009931FD"/>
    <w:rsid w:val="009B6DEA"/>
    <w:rsid w:val="00A53711"/>
    <w:rsid w:val="00A541FB"/>
    <w:rsid w:val="00BC6E1F"/>
    <w:rsid w:val="00D374C8"/>
    <w:rsid w:val="00F05839"/>
    <w:rsid w:val="00F5324A"/>
    <w:rsid w:val="00F85F6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E8669E-6CB3-4BCC-B4CF-6F34E4B5F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bidi/>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482A"/>
    <w:pPr>
      <w:spacing w:line="240" w:lineRule="auto"/>
      <w:jc w:val="left"/>
    </w:pPr>
    <w:rPr>
      <w:rFonts w:ascii="Times New Roman" w:eastAsia="Times New Roman" w:hAnsi="Times New Roman" w:cs="David"/>
      <w:noProo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58482A"/>
    <w:pPr>
      <w:tabs>
        <w:tab w:val="center" w:pos="4153"/>
        <w:tab w:val="right" w:pos="8306"/>
      </w:tabs>
    </w:pPr>
  </w:style>
  <w:style w:type="character" w:customStyle="1" w:styleId="a4">
    <w:name w:val="כותרת עליונה תו"/>
    <w:basedOn w:val="a0"/>
    <w:link w:val="a3"/>
    <w:rsid w:val="0058482A"/>
    <w:rPr>
      <w:rFonts w:ascii="Times New Roman" w:eastAsia="Times New Roman" w:hAnsi="Times New Roman" w:cs="David"/>
      <w:noProof/>
      <w:sz w:val="24"/>
      <w:szCs w:val="24"/>
    </w:rPr>
  </w:style>
  <w:style w:type="paragraph" w:styleId="a5">
    <w:name w:val="footer"/>
    <w:basedOn w:val="a"/>
    <w:link w:val="a6"/>
    <w:rsid w:val="0058482A"/>
    <w:pPr>
      <w:tabs>
        <w:tab w:val="center" w:pos="4153"/>
        <w:tab w:val="right" w:pos="8306"/>
      </w:tabs>
    </w:pPr>
  </w:style>
  <w:style w:type="character" w:customStyle="1" w:styleId="a6">
    <w:name w:val="כותרת תחתונה תו"/>
    <w:basedOn w:val="a0"/>
    <w:link w:val="a5"/>
    <w:rsid w:val="0058482A"/>
    <w:rPr>
      <w:rFonts w:ascii="Times New Roman" w:eastAsia="Times New Roman" w:hAnsi="Times New Roman" w:cs="David"/>
      <w:noProof/>
      <w:sz w:val="24"/>
      <w:szCs w:val="24"/>
    </w:rPr>
  </w:style>
  <w:style w:type="table" w:styleId="a7">
    <w:name w:val="Table Grid"/>
    <w:basedOn w:val="a1"/>
    <w:rsid w:val="0058482A"/>
    <w:pPr>
      <w:spacing w:line="240" w:lineRule="auto"/>
      <w:jc w:val="lef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age number"/>
    <w:basedOn w:val="a0"/>
    <w:rsid w:val="0058482A"/>
  </w:style>
  <w:style w:type="paragraph" w:styleId="a9">
    <w:name w:val="List Paragraph"/>
    <w:basedOn w:val="a"/>
    <w:uiPriority w:val="34"/>
    <w:qFormat/>
    <w:rsid w:val="0058482A"/>
    <w:pPr>
      <w:spacing w:after="160" w:line="256" w:lineRule="auto"/>
      <w:ind w:left="720"/>
      <w:contextualSpacing/>
    </w:pPr>
    <w:rPr>
      <w:rFonts w:asciiTheme="minorHAnsi" w:eastAsiaTheme="minorHAnsi" w:hAnsiTheme="minorHAnsi" w:cstheme="minorBidi"/>
      <w:noProof w:val="0"/>
      <w:sz w:val="22"/>
      <w:szCs w:val="22"/>
    </w:rPr>
  </w:style>
  <w:style w:type="character" w:customStyle="1" w:styleId="default">
    <w:name w:val="default"/>
    <w:basedOn w:val="a0"/>
    <w:rsid w:val="0058482A"/>
    <w:rPr>
      <w:rFonts w:ascii="Times New Roman" w:hAnsi="Times New Roman" w:cs="Times New Roman" w:hint="default"/>
      <w:sz w:val="26"/>
      <w:szCs w:val="26"/>
    </w:rPr>
  </w:style>
  <w:style w:type="paragraph" w:customStyle="1" w:styleId="12">
    <w:name w:val="רגיל + ‏12 נק'"/>
    <w:aliases w:val="מיושר לשני הצדדים,מרווח בין שורות:  שורה וחצי"/>
    <w:basedOn w:val="a"/>
    <w:rsid w:val="00A53711"/>
    <w:rPr>
      <w:rFonts w:eastAsia="David"/>
      <w:b/>
      <w:bCs/>
      <w:noProof w:val="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654200A6A084FF1AA2215D2251A74A8"/>
        <w:category>
          <w:name w:val="כללי"/>
          <w:gallery w:val="placeholder"/>
        </w:category>
        <w:types>
          <w:type w:val="bbPlcHdr"/>
        </w:types>
        <w:behaviors>
          <w:behavior w:val="content"/>
        </w:behaviors>
        <w:guid w:val="{72531D30-3F04-4466-8D06-3605121704F0}"/>
      </w:docPartPr>
      <w:docPartBody>
        <w:p w:rsidR="00C430E8" w:rsidRDefault="00710AB1" w:rsidP="00710AB1">
          <w:pPr>
            <w:pStyle w:val="5654200A6A084FF1AA2215D2251A74A8"/>
          </w:pPr>
          <w:r w:rsidRPr="00C03291">
            <w:rPr>
              <w:rStyle w:val="a3"/>
              <w:rtl/>
            </w:rPr>
            <w:t>סמן</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Arial (W1)">
    <w:altName w:val="Arial"/>
    <w:panose1 w:val="00000000000000000000"/>
    <w:charset w:val="00"/>
    <w:family w:val="swiss"/>
    <w:notTrueType/>
    <w:pitch w:val="variable"/>
    <w:sig w:usb0="00000003" w:usb1="00000000" w:usb2="00000000" w:usb3="00000000" w:csb0="00000001" w:csb1="00000000"/>
  </w:font>
  <w:font w:name="Miriam">
    <w:panose1 w:val="020B0502050101010101"/>
    <w:charset w:val="B1"/>
    <w:family w:val="swiss"/>
    <w:pitch w:val="variable"/>
    <w:sig w:usb0="00000801" w:usb1="00000000" w:usb2="00000000" w:usb3="00000000" w:csb0="00000020"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7002"/>
    <w:rsid w:val="006A0870"/>
    <w:rsid w:val="00710AB1"/>
    <w:rsid w:val="008944E7"/>
    <w:rsid w:val="00C430E8"/>
    <w:rsid w:val="00C62B6D"/>
    <w:rsid w:val="00FD700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10AB1"/>
    <w:rPr>
      <w:color w:val="808080"/>
    </w:rPr>
  </w:style>
  <w:style w:type="paragraph" w:customStyle="1" w:styleId="5230B9356F474770B3DF55E3A5213728">
    <w:name w:val="5230B9356F474770B3DF55E3A5213728"/>
    <w:rsid w:val="00FD7002"/>
    <w:pPr>
      <w:bidi/>
    </w:pPr>
  </w:style>
  <w:style w:type="paragraph" w:customStyle="1" w:styleId="5654200A6A084FF1AA2215D2251A74A8">
    <w:name w:val="5654200A6A084FF1AA2215D2251A74A8"/>
    <w:rsid w:val="00710AB1"/>
    <w:pPr>
      <w:bidi/>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10</Pages>
  <Words>3207</Words>
  <Characters>16038</Characters>
  <Application>Microsoft Office Word</Application>
  <DocSecurity>0</DocSecurity>
  <Lines>133</Lines>
  <Paragraphs>38</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19207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14</cp:revision>
  <dcterms:created xsi:type="dcterms:W3CDTF">2023-12-17T19:08:00Z</dcterms:created>
  <dcterms:modified xsi:type="dcterms:W3CDTF">2023-12-24T10:13:00Z</dcterms:modified>
</cp:coreProperties>
</file>