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bidiVisual/>
        <w:tblW w:w="0" w:type="auto"/>
        <w:tblInd w:w="288" w:type="dxa"/>
        <w:tblLook w:val="0000" w:firstRow="0" w:lastRow="0" w:firstColumn="0" w:lastColumn="0" w:noHBand="0" w:noVBand="0"/>
      </w:tblPr>
      <w:tblGrid>
        <w:gridCol w:w="7857"/>
      </w:tblGrid>
      <w:tr w:rsidR="00092100" w:rsidRPr="00605772" w:rsidTr="00EF3119">
        <w:tc>
          <w:tcPr>
            <w:tcW w:w="7857" w:type="dxa"/>
          </w:tcPr>
          <w:p w:rsidR="00092100" w:rsidRPr="00605772" w:rsidRDefault="00092100" w:rsidP="00EF3119">
            <w:pPr>
              <w:pStyle w:val="FileNumber0"/>
              <w:jc w:val="center"/>
              <w:rPr>
                <w:b/>
                <w:bCs w:val="0"/>
                <w:sz w:val="28"/>
                <w:rtl/>
              </w:rPr>
            </w:pPr>
            <w:bookmarkStart w:id="0" w:name="Text1"/>
            <w:bookmarkStart w:id="1" w:name="LastJudge"/>
            <w:bookmarkStart w:id="2" w:name="_GoBack"/>
            <w:bookmarkEnd w:id="2"/>
            <w:r w:rsidRPr="00605772">
              <w:rPr>
                <w:rFonts w:hint="cs"/>
                <w:b/>
                <w:bCs w:val="0"/>
                <w:sz w:val="24"/>
                <w:szCs w:val="32"/>
                <w:rtl/>
              </w:rPr>
              <w:t>ב</w:t>
            </w:r>
            <w:bookmarkEnd w:id="0"/>
            <w:r w:rsidRPr="00605772">
              <w:rPr>
                <w:rFonts w:hint="cs"/>
                <w:b/>
                <w:bCs w:val="0"/>
                <w:sz w:val="24"/>
                <w:szCs w:val="32"/>
                <w:rtl/>
              </w:rPr>
              <w:t>בית המשפט העליון</w:t>
            </w:r>
          </w:p>
          <w:p w:rsidR="00092100" w:rsidRPr="00605772" w:rsidRDefault="00092100" w:rsidP="00EF3119">
            <w:pPr>
              <w:pStyle w:val="FileNumber0"/>
              <w:jc w:val="center"/>
              <w:rPr>
                <w:b/>
                <w:bCs w:val="0"/>
                <w:sz w:val="28"/>
                <w:rtl/>
              </w:rPr>
            </w:pPr>
            <w:r w:rsidRPr="00605772">
              <w:rPr>
                <w:rFonts w:hint="cs"/>
                <w:b/>
                <w:bCs w:val="0"/>
                <w:sz w:val="28"/>
                <w:rtl/>
              </w:rPr>
              <w:t>בשבתו כבית משפט לערעורים אזרחיים</w:t>
            </w:r>
          </w:p>
          <w:p w:rsidR="00092100" w:rsidRPr="00605772" w:rsidRDefault="00092100" w:rsidP="00EF3119">
            <w:pPr>
              <w:pStyle w:val="FileNumber0"/>
              <w:jc w:val="center"/>
              <w:rPr>
                <w:b/>
                <w:bCs w:val="0"/>
                <w:sz w:val="28"/>
              </w:rPr>
            </w:pPr>
          </w:p>
        </w:tc>
      </w:tr>
    </w:tbl>
    <w:p w:rsidR="00092100" w:rsidRPr="00605772" w:rsidRDefault="00092100" w:rsidP="00092100">
      <w:pPr>
        <w:tabs>
          <w:tab w:val="left" w:pos="180"/>
        </w:tabs>
        <w:spacing w:line="360" w:lineRule="auto"/>
        <w:jc w:val="right"/>
        <w:rPr>
          <w:rFonts w:cs="Miriam"/>
          <w:b/>
        </w:rPr>
      </w:pPr>
    </w:p>
    <w:tbl>
      <w:tblPr>
        <w:bidiVisual/>
        <w:tblW w:w="0" w:type="auto"/>
        <w:tblInd w:w="27" w:type="dxa"/>
        <w:tblLook w:val="0000" w:firstRow="0" w:lastRow="0" w:firstColumn="0" w:lastColumn="0" w:noHBand="0" w:noVBand="0"/>
      </w:tblPr>
      <w:tblGrid>
        <w:gridCol w:w="8613"/>
      </w:tblGrid>
      <w:tr w:rsidR="00092100" w:rsidRPr="00605772" w:rsidTr="0040257A">
        <w:trPr>
          <w:trHeight w:val="342"/>
        </w:trPr>
        <w:tc>
          <w:tcPr>
            <w:tcW w:w="8613" w:type="dxa"/>
          </w:tcPr>
          <w:p w:rsidR="00092100" w:rsidRPr="00605772" w:rsidRDefault="00092100" w:rsidP="0040257A">
            <w:pPr>
              <w:pStyle w:val="FileNumber"/>
              <w:tabs>
                <w:tab w:val="left" w:pos="180"/>
              </w:tabs>
              <w:bidi w:val="0"/>
              <w:rPr>
                <w:b/>
                <w:bCs w:val="0"/>
                <w:sz w:val="28"/>
                <w:szCs w:val="28"/>
                <w:rtl/>
              </w:rPr>
            </w:pPr>
            <w:r w:rsidRPr="00605772">
              <w:rPr>
                <w:rFonts w:hint="cs"/>
                <w:b/>
                <w:bCs w:val="0"/>
                <w:sz w:val="28"/>
                <w:szCs w:val="28"/>
                <w:rtl/>
              </w:rPr>
              <w:t>ע"א 3021/95</w:t>
            </w:r>
          </w:p>
          <w:p w:rsidR="00092100" w:rsidRPr="00605772" w:rsidRDefault="00092100" w:rsidP="0040257A">
            <w:pPr>
              <w:pStyle w:val="FileNumber"/>
              <w:tabs>
                <w:tab w:val="left" w:pos="180"/>
              </w:tabs>
              <w:bidi w:val="0"/>
              <w:rPr>
                <w:b/>
                <w:bCs w:val="0"/>
                <w:sz w:val="28"/>
                <w:szCs w:val="28"/>
                <w:rtl/>
              </w:rPr>
            </w:pPr>
            <w:r w:rsidRPr="00605772">
              <w:rPr>
                <w:rFonts w:hint="cs"/>
                <w:b/>
                <w:bCs w:val="0"/>
                <w:sz w:val="28"/>
                <w:szCs w:val="28"/>
                <w:rtl/>
              </w:rPr>
              <w:t>בש"א 3022/95</w:t>
            </w:r>
          </w:p>
          <w:p w:rsidR="00092100" w:rsidRPr="00605772" w:rsidRDefault="00092100" w:rsidP="0040257A">
            <w:pPr>
              <w:pStyle w:val="FileNumber"/>
              <w:tabs>
                <w:tab w:val="left" w:pos="180"/>
              </w:tabs>
              <w:bidi w:val="0"/>
              <w:rPr>
                <w:b/>
                <w:bCs w:val="0"/>
                <w:sz w:val="28"/>
                <w:szCs w:val="28"/>
              </w:rPr>
            </w:pPr>
            <w:r w:rsidRPr="00605772">
              <w:rPr>
                <w:rFonts w:hint="cs"/>
                <w:b/>
                <w:bCs w:val="0"/>
                <w:sz w:val="28"/>
                <w:szCs w:val="28"/>
                <w:rtl/>
              </w:rPr>
              <w:t>בש"א 6942/95</w:t>
            </w:r>
          </w:p>
        </w:tc>
      </w:tr>
      <w:tr w:rsidR="00092100" w:rsidRPr="00605772" w:rsidTr="0040257A">
        <w:tblPrEx>
          <w:tblLook w:val="01E0" w:firstRow="1" w:lastRow="1" w:firstColumn="1" w:lastColumn="1" w:noHBand="0" w:noVBand="0"/>
        </w:tblPrEx>
        <w:trPr>
          <w:trHeight w:val="342"/>
        </w:trPr>
        <w:tc>
          <w:tcPr>
            <w:tcW w:w="8613" w:type="dxa"/>
          </w:tcPr>
          <w:p w:rsidR="00092100" w:rsidRPr="00605772" w:rsidRDefault="00092100" w:rsidP="0040257A">
            <w:pPr>
              <w:pStyle w:val="FileNumber"/>
              <w:tabs>
                <w:tab w:val="left" w:pos="180"/>
              </w:tabs>
              <w:bidi w:val="0"/>
              <w:rPr>
                <w:b/>
                <w:bCs w:val="0"/>
                <w:sz w:val="28"/>
                <w:szCs w:val="28"/>
              </w:rPr>
            </w:pPr>
            <w:r w:rsidRPr="00605772">
              <w:rPr>
                <w:rFonts w:hint="cs"/>
                <w:b/>
                <w:bCs w:val="0"/>
                <w:sz w:val="28"/>
                <w:szCs w:val="28"/>
                <w:rtl/>
              </w:rPr>
              <w:t>תאריך: 27/2/1997</w:t>
            </w:r>
          </w:p>
        </w:tc>
      </w:tr>
    </w:tbl>
    <w:p w:rsidR="00092100" w:rsidRPr="00605772" w:rsidRDefault="00092100" w:rsidP="00092100">
      <w:pPr>
        <w:tabs>
          <w:tab w:val="left" w:pos="180"/>
        </w:tabs>
        <w:spacing w:line="360" w:lineRule="auto"/>
        <w:jc w:val="right"/>
        <w:rPr>
          <w:rFonts w:cs="Miriam"/>
          <w:b/>
        </w:rPr>
      </w:pPr>
    </w:p>
    <w:tbl>
      <w:tblPr>
        <w:bidiVisual/>
        <w:tblW w:w="0" w:type="auto"/>
        <w:tblLayout w:type="fixed"/>
        <w:tblLook w:val="0000" w:firstRow="0" w:lastRow="0" w:firstColumn="0" w:lastColumn="0" w:noHBand="0" w:noVBand="0"/>
      </w:tblPr>
      <w:tblGrid>
        <w:gridCol w:w="3284"/>
        <w:gridCol w:w="5238"/>
      </w:tblGrid>
      <w:tr w:rsidR="00092100" w:rsidRPr="00605772" w:rsidTr="00EF3119">
        <w:trPr>
          <w:trHeight w:val="287"/>
        </w:trPr>
        <w:tc>
          <w:tcPr>
            <w:tcW w:w="3284" w:type="dxa"/>
          </w:tcPr>
          <w:p w:rsidR="00092100" w:rsidRPr="00605772" w:rsidRDefault="00092100" w:rsidP="00EF3119">
            <w:pPr>
              <w:pStyle w:val="BodyRuller"/>
              <w:tabs>
                <w:tab w:val="left" w:pos="180"/>
              </w:tabs>
              <w:spacing w:line="360" w:lineRule="auto"/>
              <w:rPr>
                <w:rFonts w:cs="Miriam"/>
                <w:b/>
              </w:rPr>
            </w:pPr>
            <w:r w:rsidRPr="00605772">
              <w:rPr>
                <w:rFonts w:hint="cs"/>
                <w:b/>
                <w:rtl/>
              </w:rPr>
              <w:t>בפני:</w:t>
            </w:r>
            <w:r w:rsidRPr="00605772">
              <w:rPr>
                <w:rFonts w:hint="cs"/>
                <w:b/>
                <w:rtl/>
              </w:rPr>
              <w:tab/>
            </w:r>
          </w:p>
        </w:tc>
        <w:tc>
          <w:tcPr>
            <w:tcW w:w="5238" w:type="dxa"/>
          </w:tcPr>
          <w:p w:rsidR="00092100" w:rsidRPr="00605772" w:rsidRDefault="00092100" w:rsidP="00EF3119">
            <w:pPr>
              <w:pStyle w:val="BodyRuller"/>
              <w:tabs>
                <w:tab w:val="left" w:pos="180"/>
              </w:tabs>
              <w:spacing w:line="360" w:lineRule="auto"/>
              <w:rPr>
                <w:b/>
                <w:rtl/>
              </w:rPr>
            </w:pPr>
            <w:r w:rsidRPr="00605772">
              <w:rPr>
                <w:rFonts w:hint="cs"/>
                <w:b/>
                <w:rtl/>
              </w:rPr>
              <w:t>כבוד השופטת ט' שטרסברג-כהן</w:t>
            </w:r>
          </w:p>
          <w:p w:rsidR="00092100" w:rsidRPr="00605772" w:rsidRDefault="00092100" w:rsidP="00EF3119">
            <w:pPr>
              <w:pStyle w:val="BodyRuller"/>
              <w:tabs>
                <w:tab w:val="left" w:pos="180"/>
              </w:tabs>
              <w:spacing w:line="360" w:lineRule="auto"/>
              <w:rPr>
                <w:b/>
                <w:rtl/>
              </w:rPr>
            </w:pPr>
            <w:r w:rsidRPr="00605772">
              <w:rPr>
                <w:rFonts w:hint="cs"/>
                <w:b/>
                <w:rtl/>
              </w:rPr>
              <w:t>כבוד השופטת ד' דורנר</w:t>
            </w:r>
          </w:p>
          <w:p w:rsidR="00092100" w:rsidRPr="00605772" w:rsidRDefault="00092100" w:rsidP="00EF3119">
            <w:pPr>
              <w:pStyle w:val="BodyRuller"/>
              <w:tabs>
                <w:tab w:val="left" w:pos="180"/>
              </w:tabs>
              <w:spacing w:line="360" w:lineRule="auto"/>
              <w:rPr>
                <w:b/>
              </w:rPr>
            </w:pPr>
            <w:r w:rsidRPr="00605772">
              <w:rPr>
                <w:rFonts w:hint="cs"/>
                <w:b/>
                <w:rtl/>
              </w:rPr>
              <w:t>כבוד השופט י' טירקל</w:t>
            </w:r>
          </w:p>
        </w:tc>
      </w:tr>
    </w:tbl>
    <w:p w:rsidR="00092100" w:rsidRPr="00605772" w:rsidRDefault="00092100" w:rsidP="00092100">
      <w:pPr>
        <w:pStyle w:val="Ruller3"/>
        <w:tabs>
          <w:tab w:val="left" w:pos="180"/>
        </w:tabs>
        <w:rPr>
          <w:rFonts w:cs="Miriam"/>
          <w:b/>
        </w:rPr>
      </w:pPr>
    </w:p>
    <w:tbl>
      <w:tblPr>
        <w:bidiVisual/>
        <w:tblW w:w="0" w:type="auto"/>
        <w:tblLook w:val="0000" w:firstRow="0" w:lastRow="0" w:firstColumn="0" w:lastColumn="0" w:noHBand="0" w:noVBand="0"/>
      </w:tblPr>
      <w:tblGrid>
        <w:gridCol w:w="3284"/>
        <w:gridCol w:w="5238"/>
      </w:tblGrid>
      <w:tr w:rsidR="00092100" w:rsidRPr="00605772" w:rsidTr="00EF3119">
        <w:tc>
          <w:tcPr>
            <w:tcW w:w="3284" w:type="dxa"/>
          </w:tcPr>
          <w:p w:rsidR="00092100" w:rsidRPr="00605772" w:rsidRDefault="00092100" w:rsidP="00EF3119">
            <w:pPr>
              <w:pStyle w:val="BodyRuller"/>
              <w:tabs>
                <w:tab w:val="left" w:pos="180"/>
              </w:tabs>
              <w:spacing w:line="360" w:lineRule="auto"/>
              <w:rPr>
                <w:b/>
              </w:rPr>
            </w:pPr>
            <w:bookmarkStart w:id="3" w:name="FirstAppellant"/>
            <w:r w:rsidRPr="00605772">
              <w:rPr>
                <w:rFonts w:hint="cs"/>
                <w:b/>
                <w:rtl/>
              </w:rPr>
              <w:t>המערערת:</w:t>
            </w:r>
          </w:p>
        </w:tc>
        <w:tc>
          <w:tcPr>
            <w:tcW w:w="5238" w:type="dxa"/>
          </w:tcPr>
          <w:p w:rsidR="00092100" w:rsidRPr="00605772" w:rsidRDefault="00092100" w:rsidP="00EF3119">
            <w:pPr>
              <w:pStyle w:val="BodyRuller"/>
              <w:spacing w:line="360" w:lineRule="auto"/>
              <w:rPr>
                <w:b/>
              </w:rPr>
            </w:pPr>
            <w:r w:rsidRPr="00605772">
              <w:rPr>
                <w:rFonts w:hint="cs"/>
                <w:b/>
                <w:rtl/>
              </w:rPr>
              <w:t>יהודית גרינבלט</w:t>
            </w:r>
          </w:p>
        </w:tc>
      </w:tr>
    </w:tbl>
    <w:bookmarkEnd w:id="3"/>
    <w:p w:rsidR="00092100" w:rsidRPr="00605772" w:rsidRDefault="00092100" w:rsidP="00092100">
      <w:pPr>
        <w:pStyle w:val="Ruller3"/>
        <w:tabs>
          <w:tab w:val="left" w:pos="180"/>
        </w:tabs>
        <w:rPr>
          <w:b/>
          <w:rtl/>
        </w:rPr>
      </w:pPr>
      <w:r w:rsidRPr="00605772">
        <w:rPr>
          <w:b/>
        </w:rPr>
        <w:tab/>
      </w:r>
    </w:p>
    <w:tbl>
      <w:tblPr>
        <w:bidiVisual/>
        <w:tblW w:w="0" w:type="auto"/>
        <w:tblLook w:val="0000" w:firstRow="0" w:lastRow="0" w:firstColumn="0" w:lastColumn="0" w:noHBand="0" w:noVBand="0"/>
      </w:tblPr>
      <w:tblGrid>
        <w:gridCol w:w="3284"/>
        <w:gridCol w:w="5238"/>
      </w:tblGrid>
      <w:tr w:rsidR="00092100" w:rsidRPr="00605772" w:rsidTr="00EF3119">
        <w:tc>
          <w:tcPr>
            <w:tcW w:w="3284" w:type="dxa"/>
          </w:tcPr>
          <w:p w:rsidR="00092100" w:rsidRPr="00605772" w:rsidRDefault="00092100" w:rsidP="00EF3119">
            <w:pPr>
              <w:pStyle w:val="BodyRuller"/>
              <w:tabs>
                <w:tab w:val="left" w:pos="180"/>
              </w:tabs>
              <w:spacing w:line="360" w:lineRule="auto"/>
              <w:rPr>
                <w:b/>
              </w:rPr>
            </w:pPr>
          </w:p>
        </w:tc>
        <w:tc>
          <w:tcPr>
            <w:tcW w:w="5238" w:type="dxa"/>
          </w:tcPr>
          <w:p w:rsidR="00092100" w:rsidRPr="00605772" w:rsidRDefault="00092100" w:rsidP="00EF3119">
            <w:pPr>
              <w:pStyle w:val="BodyRuller"/>
              <w:tabs>
                <w:tab w:val="left" w:pos="180"/>
              </w:tabs>
              <w:spacing w:line="360" w:lineRule="auto"/>
              <w:rPr>
                <w:b/>
              </w:rPr>
            </w:pPr>
            <w:r w:rsidRPr="00605772">
              <w:rPr>
                <w:rFonts w:hint="cs"/>
                <w:b/>
                <w:rtl/>
              </w:rPr>
              <w:t>נ</w:t>
            </w:r>
            <w:r w:rsidRPr="00605772">
              <w:rPr>
                <w:b/>
                <w:rtl/>
              </w:rPr>
              <w:t xml:space="preserve"> </w:t>
            </w:r>
            <w:r w:rsidRPr="00605772">
              <w:rPr>
                <w:b/>
              </w:rPr>
              <w:t xml:space="preserve"> </w:t>
            </w:r>
            <w:r w:rsidRPr="00605772">
              <w:rPr>
                <w:rFonts w:hint="cs"/>
                <w:b/>
                <w:rtl/>
              </w:rPr>
              <w:t>ג</w:t>
            </w:r>
            <w:r w:rsidRPr="00605772">
              <w:rPr>
                <w:b/>
                <w:rtl/>
              </w:rPr>
              <w:t xml:space="preserve"> </w:t>
            </w:r>
            <w:r w:rsidRPr="00605772">
              <w:rPr>
                <w:b/>
              </w:rPr>
              <w:t xml:space="preserve"> </w:t>
            </w:r>
            <w:r w:rsidRPr="00605772">
              <w:rPr>
                <w:rFonts w:hint="cs"/>
                <w:b/>
                <w:rtl/>
              </w:rPr>
              <w:t>ד</w:t>
            </w:r>
          </w:p>
        </w:tc>
      </w:tr>
    </w:tbl>
    <w:p w:rsidR="00092100" w:rsidRPr="00605772" w:rsidRDefault="00092100" w:rsidP="00092100">
      <w:pPr>
        <w:pStyle w:val="Ruller3"/>
        <w:tabs>
          <w:tab w:val="left" w:pos="180"/>
        </w:tabs>
        <w:rPr>
          <w:b/>
          <w:rtl/>
        </w:rPr>
      </w:pPr>
      <w:r w:rsidRPr="00605772">
        <w:rPr>
          <w:b/>
        </w:rPr>
        <w:tab/>
      </w:r>
      <w:r w:rsidRPr="00605772">
        <w:rPr>
          <w:b/>
        </w:rPr>
        <w:tab/>
      </w:r>
      <w:r w:rsidRPr="00605772">
        <w:rPr>
          <w:b/>
        </w:rPr>
        <w:tab/>
        <w:t xml:space="preserve">     </w:t>
      </w:r>
    </w:p>
    <w:tbl>
      <w:tblPr>
        <w:bidiVisual/>
        <w:tblW w:w="0" w:type="auto"/>
        <w:tblLook w:val="0000" w:firstRow="0" w:lastRow="0" w:firstColumn="0" w:lastColumn="0" w:noHBand="0" w:noVBand="0"/>
      </w:tblPr>
      <w:tblGrid>
        <w:gridCol w:w="3284"/>
        <w:gridCol w:w="5238"/>
      </w:tblGrid>
      <w:tr w:rsidR="00092100" w:rsidRPr="00605772" w:rsidTr="009B5255">
        <w:tc>
          <w:tcPr>
            <w:tcW w:w="3284" w:type="dxa"/>
          </w:tcPr>
          <w:p w:rsidR="00092100" w:rsidRPr="00605772" w:rsidRDefault="00092100" w:rsidP="00EF3119">
            <w:pPr>
              <w:pStyle w:val="BodyRuller"/>
              <w:tabs>
                <w:tab w:val="left" w:pos="180"/>
              </w:tabs>
              <w:spacing w:line="360" w:lineRule="auto"/>
              <w:rPr>
                <w:b/>
              </w:rPr>
            </w:pPr>
            <w:r w:rsidRPr="00605772">
              <w:rPr>
                <w:rFonts w:hint="cs"/>
                <w:b/>
                <w:rtl/>
              </w:rPr>
              <w:t>המשיבים:</w:t>
            </w:r>
          </w:p>
        </w:tc>
        <w:tc>
          <w:tcPr>
            <w:tcW w:w="5238" w:type="dxa"/>
          </w:tcPr>
          <w:p w:rsidR="00092100" w:rsidRPr="00605772" w:rsidRDefault="00092100" w:rsidP="00092100">
            <w:pPr>
              <w:pStyle w:val="BodyRuller"/>
              <w:numPr>
                <w:ilvl w:val="0"/>
                <w:numId w:val="1"/>
              </w:numPr>
              <w:spacing w:line="360" w:lineRule="auto"/>
              <w:ind w:left="406"/>
              <w:rPr>
                <w:b/>
              </w:rPr>
            </w:pPr>
            <w:r w:rsidRPr="00605772">
              <w:rPr>
                <w:rFonts w:hint="cs"/>
                <w:b/>
                <w:rtl/>
              </w:rPr>
              <w:t>בית הספר החקלאי תיכון עיינות</w:t>
            </w:r>
          </w:p>
          <w:p w:rsidR="00092100" w:rsidRPr="00605772" w:rsidRDefault="00092100" w:rsidP="00092100">
            <w:pPr>
              <w:pStyle w:val="BodyRuller"/>
              <w:numPr>
                <w:ilvl w:val="0"/>
                <w:numId w:val="1"/>
              </w:numPr>
              <w:spacing w:line="360" w:lineRule="auto"/>
              <w:ind w:left="406"/>
              <w:rPr>
                <w:b/>
              </w:rPr>
            </w:pPr>
            <w:r w:rsidRPr="00605772">
              <w:rPr>
                <w:rFonts w:hint="cs"/>
                <w:b/>
                <w:rtl/>
              </w:rPr>
              <w:t xml:space="preserve">נעמ"ת </w:t>
            </w:r>
            <w:r w:rsidRPr="00605772">
              <w:rPr>
                <w:b/>
                <w:rtl/>
              </w:rPr>
              <w:t>-</w:t>
            </w:r>
            <w:r w:rsidRPr="00605772">
              <w:rPr>
                <w:rFonts w:hint="cs"/>
                <w:b/>
                <w:rtl/>
              </w:rPr>
              <w:t xml:space="preserve"> תנועת נשים עובדות ומתנדבות</w:t>
            </w:r>
          </w:p>
          <w:p w:rsidR="00092100" w:rsidRPr="00605772" w:rsidRDefault="00092100" w:rsidP="00092100">
            <w:pPr>
              <w:pStyle w:val="BodyRuller"/>
              <w:numPr>
                <w:ilvl w:val="0"/>
                <w:numId w:val="1"/>
              </w:numPr>
              <w:spacing w:line="360" w:lineRule="auto"/>
              <w:ind w:left="406"/>
              <w:rPr>
                <w:b/>
              </w:rPr>
            </w:pPr>
            <w:r w:rsidRPr="00605772">
              <w:rPr>
                <w:rFonts w:hint="cs"/>
                <w:b/>
                <w:rtl/>
              </w:rPr>
              <w:t>הקרן הקיימת לישראל</w:t>
            </w:r>
          </w:p>
        </w:tc>
      </w:tr>
      <w:tr w:rsidR="00092100" w:rsidRPr="00605772" w:rsidTr="009B5255">
        <w:tc>
          <w:tcPr>
            <w:tcW w:w="3284" w:type="dxa"/>
          </w:tcPr>
          <w:p w:rsidR="00092100" w:rsidRPr="00605772" w:rsidRDefault="00092100" w:rsidP="00EF3119">
            <w:pPr>
              <w:pStyle w:val="BodyRuller"/>
              <w:tabs>
                <w:tab w:val="left" w:pos="180"/>
              </w:tabs>
              <w:spacing w:line="360" w:lineRule="auto"/>
              <w:rPr>
                <w:b/>
                <w:rtl/>
              </w:rPr>
            </w:pPr>
          </w:p>
        </w:tc>
        <w:tc>
          <w:tcPr>
            <w:tcW w:w="5238" w:type="dxa"/>
          </w:tcPr>
          <w:p w:rsidR="00092100" w:rsidRPr="00605772" w:rsidRDefault="00092100" w:rsidP="00EF3119">
            <w:pPr>
              <w:pStyle w:val="BodyRuller"/>
              <w:tabs>
                <w:tab w:val="left" w:pos="180"/>
              </w:tabs>
              <w:spacing w:line="360" w:lineRule="auto"/>
              <w:rPr>
                <w:b/>
                <w:rtl/>
              </w:rPr>
            </w:pPr>
          </w:p>
        </w:tc>
      </w:tr>
      <w:tr w:rsidR="00092100" w:rsidRPr="00605772" w:rsidTr="009B5255">
        <w:trPr>
          <w:gridBefore w:val="1"/>
          <w:wBefore w:w="3284" w:type="dxa"/>
          <w:trHeight w:val="287"/>
        </w:trPr>
        <w:tc>
          <w:tcPr>
            <w:tcW w:w="5238" w:type="dxa"/>
          </w:tcPr>
          <w:p w:rsidR="00092100" w:rsidRPr="00605772" w:rsidRDefault="00092100" w:rsidP="00EF3119">
            <w:pPr>
              <w:pStyle w:val="BodyRuller"/>
              <w:tabs>
                <w:tab w:val="left" w:pos="180"/>
              </w:tabs>
              <w:spacing w:line="360" w:lineRule="auto"/>
              <w:jc w:val="both"/>
              <w:rPr>
                <w:b/>
                <w:sz w:val="24"/>
                <w:szCs w:val="24"/>
              </w:rPr>
            </w:pPr>
            <w:r w:rsidRPr="00605772">
              <w:rPr>
                <w:rFonts w:hint="cs"/>
                <w:b/>
                <w:sz w:val="24"/>
                <w:szCs w:val="24"/>
                <w:rtl/>
              </w:rPr>
              <w:t>ערעור על פסק דין בית המשפט המחוזי בתל-אביב-יפו מיום 3/4/95 בת"א 561/90 שניתן על ידי כבוד השופט ג' קלינג</w:t>
            </w:r>
          </w:p>
        </w:tc>
      </w:tr>
    </w:tbl>
    <w:p w:rsidR="00092100" w:rsidRPr="00605772" w:rsidRDefault="00092100" w:rsidP="00092100">
      <w:pPr>
        <w:pStyle w:val="Ruller3"/>
        <w:tabs>
          <w:tab w:val="left" w:pos="180"/>
        </w:tabs>
        <w:rPr>
          <w:b/>
          <w:rtl/>
        </w:rPr>
      </w:pPr>
    </w:p>
    <w:tbl>
      <w:tblPr>
        <w:bidiVisual/>
        <w:tblW w:w="0" w:type="auto"/>
        <w:tblLook w:val="0000" w:firstRow="0" w:lastRow="0" w:firstColumn="0" w:lastColumn="0" w:noHBand="0" w:noVBand="0"/>
      </w:tblPr>
      <w:tblGrid>
        <w:gridCol w:w="3284"/>
        <w:gridCol w:w="5238"/>
      </w:tblGrid>
      <w:tr w:rsidR="00092100" w:rsidRPr="00605772" w:rsidTr="00EF3119">
        <w:tc>
          <w:tcPr>
            <w:tcW w:w="3284" w:type="dxa"/>
          </w:tcPr>
          <w:p w:rsidR="00092100" w:rsidRPr="00605772" w:rsidRDefault="00092100" w:rsidP="00EF3119">
            <w:pPr>
              <w:pStyle w:val="BodyRuller"/>
              <w:tabs>
                <w:tab w:val="left" w:pos="180"/>
              </w:tabs>
              <w:spacing w:line="360" w:lineRule="auto"/>
              <w:rPr>
                <w:b/>
                <w:rtl/>
              </w:rPr>
            </w:pPr>
            <w:bookmarkStart w:id="4" w:name="FirstLawyer"/>
            <w:r w:rsidRPr="00605772">
              <w:rPr>
                <w:rFonts w:hint="cs"/>
                <w:b/>
                <w:rtl/>
              </w:rPr>
              <w:t>בשם המערערת:</w:t>
            </w:r>
          </w:p>
          <w:p w:rsidR="00092100" w:rsidRPr="00605772" w:rsidRDefault="00092100" w:rsidP="00EF3119">
            <w:pPr>
              <w:pStyle w:val="BodyRuller"/>
              <w:tabs>
                <w:tab w:val="left" w:pos="180"/>
              </w:tabs>
              <w:spacing w:line="360" w:lineRule="auto"/>
              <w:rPr>
                <w:b/>
                <w:rtl/>
              </w:rPr>
            </w:pPr>
          </w:p>
          <w:p w:rsidR="00092100" w:rsidRPr="00605772" w:rsidRDefault="00092100" w:rsidP="00EF3119">
            <w:pPr>
              <w:pStyle w:val="BodyRuller"/>
              <w:tabs>
                <w:tab w:val="left" w:pos="180"/>
              </w:tabs>
              <w:spacing w:line="360" w:lineRule="auto"/>
              <w:rPr>
                <w:b/>
                <w:rtl/>
              </w:rPr>
            </w:pPr>
            <w:r w:rsidRPr="00605772">
              <w:rPr>
                <w:rFonts w:hint="cs"/>
                <w:b/>
                <w:rtl/>
              </w:rPr>
              <w:t>בשם המשיבים 1-2:</w:t>
            </w:r>
          </w:p>
          <w:p w:rsidR="00092100" w:rsidRPr="00605772" w:rsidRDefault="00092100" w:rsidP="00EF3119">
            <w:pPr>
              <w:pStyle w:val="BodyRuller"/>
              <w:tabs>
                <w:tab w:val="left" w:pos="180"/>
              </w:tabs>
              <w:spacing w:line="360" w:lineRule="auto"/>
              <w:rPr>
                <w:b/>
                <w:rtl/>
              </w:rPr>
            </w:pPr>
          </w:p>
          <w:p w:rsidR="00092100" w:rsidRPr="00605772" w:rsidRDefault="00092100" w:rsidP="00EF3119">
            <w:pPr>
              <w:pStyle w:val="BodyRuller"/>
              <w:tabs>
                <w:tab w:val="left" w:pos="180"/>
              </w:tabs>
              <w:spacing w:line="360" w:lineRule="auto"/>
              <w:rPr>
                <w:b/>
              </w:rPr>
            </w:pPr>
            <w:r w:rsidRPr="00605772">
              <w:rPr>
                <w:rFonts w:hint="cs"/>
                <w:b/>
                <w:rtl/>
              </w:rPr>
              <w:lastRenderedPageBreak/>
              <w:t>בשם המשיב 3:</w:t>
            </w:r>
          </w:p>
        </w:tc>
        <w:tc>
          <w:tcPr>
            <w:tcW w:w="5238" w:type="dxa"/>
          </w:tcPr>
          <w:p w:rsidR="00092100" w:rsidRPr="00605772" w:rsidRDefault="00092100" w:rsidP="00EF3119">
            <w:pPr>
              <w:pStyle w:val="BodyRuller"/>
              <w:tabs>
                <w:tab w:val="left" w:pos="180"/>
              </w:tabs>
              <w:spacing w:line="360" w:lineRule="auto"/>
              <w:rPr>
                <w:b/>
                <w:rtl/>
              </w:rPr>
            </w:pPr>
            <w:r w:rsidRPr="00605772">
              <w:rPr>
                <w:rFonts w:hint="cs"/>
                <w:b/>
                <w:rtl/>
              </w:rPr>
              <w:lastRenderedPageBreak/>
              <w:t>עו"ד הורביץ</w:t>
            </w:r>
          </w:p>
          <w:p w:rsidR="00092100" w:rsidRPr="00605772" w:rsidRDefault="00092100" w:rsidP="00EF3119">
            <w:pPr>
              <w:pStyle w:val="BodyRuller"/>
              <w:tabs>
                <w:tab w:val="left" w:pos="180"/>
              </w:tabs>
              <w:spacing w:line="360" w:lineRule="auto"/>
              <w:rPr>
                <w:b/>
                <w:rtl/>
              </w:rPr>
            </w:pPr>
          </w:p>
          <w:p w:rsidR="00092100" w:rsidRPr="00605772" w:rsidRDefault="00092100" w:rsidP="00EF3119">
            <w:pPr>
              <w:pStyle w:val="BodyRuller"/>
              <w:tabs>
                <w:tab w:val="left" w:pos="180"/>
              </w:tabs>
              <w:spacing w:line="360" w:lineRule="auto"/>
              <w:rPr>
                <w:b/>
                <w:rtl/>
              </w:rPr>
            </w:pPr>
            <w:r w:rsidRPr="00605772">
              <w:rPr>
                <w:rFonts w:hint="cs"/>
                <w:b/>
                <w:rtl/>
              </w:rPr>
              <w:t>עו"ד צבי רפפורט</w:t>
            </w:r>
          </w:p>
          <w:p w:rsidR="00092100" w:rsidRPr="00605772" w:rsidRDefault="00092100" w:rsidP="00EF3119">
            <w:pPr>
              <w:pStyle w:val="BodyRuller"/>
              <w:tabs>
                <w:tab w:val="left" w:pos="180"/>
              </w:tabs>
              <w:spacing w:line="360" w:lineRule="auto"/>
              <w:rPr>
                <w:b/>
                <w:rtl/>
              </w:rPr>
            </w:pPr>
          </w:p>
          <w:p w:rsidR="00092100" w:rsidRPr="00605772" w:rsidRDefault="00092100" w:rsidP="00EF3119">
            <w:pPr>
              <w:pStyle w:val="BodyRuller"/>
              <w:tabs>
                <w:tab w:val="left" w:pos="180"/>
              </w:tabs>
              <w:spacing w:line="360" w:lineRule="auto"/>
              <w:rPr>
                <w:b/>
              </w:rPr>
            </w:pPr>
            <w:r w:rsidRPr="00605772">
              <w:rPr>
                <w:rFonts w:hint="cs"/>
                <w:b/>
                <w:rtl/>
              </w:rPr>
              <w:lastRenderedPageBreak/>
              <w:t>עו"ד אלרום, עו"ד קדם פור</w:t>
            </w:r>
          </w:p>
        </w:tc>
      </w:tr>
      <w:bookmarkEnd w:id="4"/>
    </w:tbl>
    <w:p w:rsidR="00092100" w:rsidRPr="00605772" w:rsidRDefault="00092100" w:rsidP="00092100">
      <w:pPr>
        <w:pStyle w:val="DocumentHead"/>
        <w:tabs>
          <w:tab w:val="left" w:pos="180"/>
        </w:tabs>
        <w:rPr>
          <w:b/>
          <w:bCs w:val="0"/>
          <w:u w:val="none"/>
          <w:rtl/>
        </w:rPr>
      </w:pPr>
    </w:p>
    <w:p w:rsidR="00092100" w:rsidRPr="00605772" w:rsidRDefault="00092100" w:rsidP="00092100">
      <w:pPr>
        <w:spacing w:line="360" w:lineRule="auto"/>
        <w:jc w:val="center"/>
        <w:rPr>
          <w:b/>
          <w:bCs/>
          <w:spacing w:val="30"/>
          <w:szCs w:val="28"/>
          <w:u w:val="single"/>
          <w:rtl/>
        </w:rPr>
      </w:pPr>
      <w:bookmarkStart w:id="5" w:name="PsakDin"/>
      <w:bookmarkEnd w:id="1"/>
      <w:r w:rsidRPr="00605772">
        <w:rPr>
          <w:b/>
          <w:bCs/>
          <w:spacing w:val="30"/>
          <w:szCs w:val="28"/>
          <w:u w:val="single"/>
          <w:rtl/>
        </w:rPr>
        <w:t>פסק-דין</w:t>
      </w:r>
    </w:p>
    <w:bookmarkEnd w:id="5"/>
    <w:p w:rsidR="00092100" w:rsidRDefault="00092100" w:rsidP="00092100">
      <w:pPr>
        <w:spacing w:line="360" w:lineRule="auto"/>
        <w:jc w:val="both"/>
        <w:rPr>
          <w:b/>
          <w:bCs/>
          <w:sz w:val="24"/>
          <w:rtl/>
        </w:rPr>
      </w:pPr>
    </w:p>
    <w:p w:rsidR="00092100" w:rsidRDefault="00092100" w:rsidP="00092100">
      <w:pPr>
        <w:spacing w:line="360" w:lineRule="auto"/>
        <w:jc w:val="both"/>
        <w:rPr>
          <w:b/>
          <w:bCs/>
          <w:sz w:val="24"/>
          <w:rtl/>
        </w:rPr>
      </w:pPr>
      <w:r>
        <w:rPr>
          <w:rFonts w:hint="cs"/>
          <w:b/>
          <w:bCs/>
          <w:sz w:val="24"/>
          <w:rtl/>
        </w:rPr>
        <w:t>השופטת ט' שטרסברג-כהן:</w:t>
      </w:r>
    </w:p>
    <w:p w:rsidR="00092100" w:rsidRPr="0062775B" w:rsidRDefault="00092100" w:rsidP="00092100">
      <w:pPr>
        <w:spacing w:line="360" w:lineRule="auto"/>
        <w:jc w:val="both"/>
        <w:rPr>
          <w:sz w:val="24"/>
          <w:rtl/>
        </w:rPr>
      </w:pPr>
    </w:p>
    <w:p w:rsidR="00092100" w:rsidRDefault="00092100" w:rsidP="00092100">
      <w:pPr>
        <w:numPr>
          <w:ilvl w:val="0"/>
          <w:numId w:val="2"/>
        </w:numPr>
        <w:spacing w:line="360" w:lineRule="auto"/>
        <w:ind w:left="360"/>
        <w:jc w:val="both"/>
        <w:rPr>
          <w:sz w:val="24"/>
        </w:rPr>
      </w:pPr>
      <w:bookmarkStart w:id="6" w:name="ABSTRACT_START"/>
      <w:bookmarkEnd w:id="6"/>
      <w:r w:rsidRPr="009B5255">
        <w:rPr>
          <w:rFonts w:hint="cs"/>
          <w:sz w:val="24"/>
          <w:rtl/>
        </w:rPr>
        <w:t xml:space="preserve">זהו ערעור וערעור שכנגד. המערערת, ילידת 1972, נפגעה במאי 1988 על ידי גזע משנה של עץ חרוב, שקרס לפתע ופגע בה. כתוצאה מהפגיעה נכרתה רגלה הימנית והיא הגישה תביעה לפיצויים נגד בית הספר החקלאי </w:t>
      </w:r>
      <w:r w:rsidRPr="009B5255">
        <w:rPr>
          <w:sz w:val="24"/>
          <w:rtl/>
        </w:rPr>
        <w:t>-</w:t>
      </w:r>
      <w:r w:rsidRPr="009B5255">
        <w:rPr>
          <w:rFonts w:hint="cs"/>
          <w:sz w:val="24"/>
          <w:rtl/>
        </w:rPr>
        <w:t xml:space="preserve"> תיכון עיינות (להלן: </w:t>
      </w:r>
      <w:r w:rsidRPr="009B5255">
        <w:rPr>
          <w:rFonts w:hint="cs"/>
          <w:b/>
          <w:bCs/>
          <w:sz w:val="24"/>
          <w:rtl/>
        </w:rPr>
        <w:t>"בית הספר"</w:t>
      </w:r>
      <w:r w:rsidRPr="009B5255">
        <w:rPr>
          <w:rFonts w:hint="cs"/>
          <w:sz w:val="24"/>
          <w:rtl/>
        </w:rPr>
        <w:t xml:space="preserve">) בו למדה ונגד נעמת תנועת נשים עובדות ומתנדבות (להלן: </w:t>
      </w:r>
      <w:r w:rsidRPr="009B5255">
        <w:rPr>
          <w:rFonts w:hint="cs"/>
          <w:b/>
          <w:bCs/>
          <w:sz w:val="24"/>
          <w:rtl/>
        </w:rPr>
        <w:t>"נעמת"</w:t>
      </w:r>
      <w:r w:rsidRPr="009B5255">
        <w:rPr>
          <w:rFonts w:hint="cs"/>
          <w:sz w:val="24"/>
          <w:rtl/>
        </w:rPr>
        <w:t xml:space="preserve">) (שניהם להלן: </w:t>
      </w:r>
      <w:r w:rsidRPr="009B5255">
        <w:rPr>
          <w:rFonts w:hint="cs"/>
          <w:b/>
          <w:bCs/>
          <w:sz w:val="24"/>
          <w:rtl/>
        </w:rPr>
        <w:t>"המשיבים"</w:t>
      </w:r>
      <w:r w:rsidRPr="009B5255">
        <w:rPr>
          <w:rFonts w:hint="cs"/>
          <w:sz w:val="24"/>
          <w:rtl/>
        </w:rPr>
        <w:t>), ששלחו הודעת צד שלישי לקרן הקיימת</w:t>
      </w:r>
      <w:r>
        <w:rPr>
          <w:rFonts w:hint="cs"/>
          <w:sz w:val="24"/>
          <w:rtl/>
        </w:rPr>
        <w:t xml:space="preserve"> לישראל (להלן: </w:t>
      </w:r>
      <w:r>
        <w:rPr>
          <w:rFonts w:hint="cs"/>
          <w:b/>
          <w:bCs/>
          <w:sz w:val="24"/>
          <w:rtl/>
        </w:rPr>
        <w:t>"הקרן הקיימת לישראל"</w:t>
      </w:r>
      <w:r>
        <w:rPr>
          <w:rFonts w:hint="cs"/>
          <w:sz w:val="24"/>
          <w:rtl/>
        </w:rPr>
        <w:t>).</w:t>
      </w:r>
      <w:r>
        <w:rPr>
          <w:rFonts w:hint="cs"/>
          <w:sz w:val="24"/>
          <w:rtl/>
        </w:rPr>
        <w:tab/>
      </w:r>
      <w:bookmarkStart w:id="7" w:name="ABSTRACT_END"/>
      <w:bookmarkEnd w:id="7"/>
      <w:r>
        <w:rPr>
          <w:sz w:val="24"/>
          <w:rtl/>
        </w:rPr>
        <w:br/>
      </w:r>
      <w:r>
        <w:rPr>
          <w:sz w:val="24"/>
          <w:rtl/>
        </w:rPr>
        <w:br/>
      </w:r>
      <w:r>
        <w:rPr>
          <w:rFonts w:hint="cs"/>
          <w:sz w:val="24"/>
          <w:rtl/>
        </w:rPr>
        <w:t>בית משפט קמא (השופט ד"ר ג' קלינג) דחה את התביעה ועל כך הערעור ואילו הערעור שכנגד של המשיבים הוגש למקרה וערעור הנפגעת יתקבל, ויהיה צורך להתייחס להודעה לצד שלישי.</w:t>
      </w:r>
    </w:p>
    <w:p w:rsidR="00092100" w:rsidRDefault="00092100" w:rsidP="00092100">
      <w:pPr>
        <w:spacing w:line="360" w:lineRule="auto"/>
        <w:ind w:left="360"/>
        <w:jc w:val="both"/>
        <w:rPr>
          <w:sz w:val="24"/>
        </w:rPr>
      </w:pPr>
    </w:p>
    <w:p w:rsidR="00092100" w:rsidRDefault="00092100" w:rsidP="00092100">
      <w:pPr>
        <w:numPr>
          <w:ilvl w:val="0"/>
          <w:numId w:val="2"/>
        </w:numPr>
        <w:spacing w:line="360" w:lineRule="auto"/>
        <w:ind w:left="360"/>
        <w:jc w:val="both"/>
        <w:rPr>
          <w:sz w:val="24"/>
        </w:rPr>
      </w:pPr>
      <w:r>
        <w:rPr>
          <w:rFonts w:hint="cs"/>
          <w:sz w:val="24"/>
          <w:rtl/>
        </w:rPr>
        <w:t>בית משפט קמא קבע, כי אין בפניו ראיה שבית הספר הוא תאגיד ואין בפניו ראיה בדבר הזיקות שבין בית הספר ובין נעמת ודי בכך כדי לדחות את התביעה. עם זאת, בדק הוא את שאלת חובת הזהירות של המשיבים לסכנות מנזק שעלול להיגרם על ידי עצים הנטועים במקרקעין שבבעלותם או בחזקתם כלפי מי שנמצא עליהם. בית המשפט אימץ שיקולי מדיניות שיפוטית לפיה "אין לקבוע רף גבוה מדי לחובה המוטלת בגין העצים, שמא יביא הדבר לכריתת עצים מחשש כי הותרת העצים עלולה לחייב בתשלום פיצויים בסכומים גדולים". עוד קבע, כי בהתייחסו לראיות שהיו לפניו, לרבות עדויות מומחים, שקל השופט המלומד את מידת הסכנה, את הקושי למנעה, את ההוצאה הכרוכה בכך ואת האינטרס הציבורי שבמתן השירות על אף סכנתו, והגיע למסקנה שאין להטיל אחריות על המשיבים.</w:t>
      </w:r>
    </w:p>
    <w:p w:rsidR="00092100" w:rsidRPr="005B1911" w:rsidRDefault="00092100" w:rsidP="00092100">
      <w:pPr>
        <w:pStyle w:val="ListParagraph1"/>
        <w:rPr>
          <w:b/>
          <w:bCs/>
          <w:sz w:val="24"/>
          <w:rtl/>
        </w:rPr>
      </w:pPr>
    </w:p>
    <w:p w:rsidR="00092100" w:rsidRDefault="00092100" w:rsidP="00092100">
      <w:pPr>
        <w:spacing w:line="360" w:lineRule="auto"/>
        <w:jc w:val="both"/>
        <w:rPr>
          <w:b/>
          <w:bCs/>
          <w:sz w:val="24"/>
          <w:rtl/>
        </w:rPr>
      </w:pPr>
      <w:r w:rsidRPr="005B1911">
        <w:rPr>
          <w:rFonts w:hint="cs"/>
          <w:b/>
          <w:bCs/>
          <w:sz w:val="24"/>
          <w:rtl/>
        </w:rPr>
        <w:t>מעמד המשיבים והזיקה ביניהם</w:t>
      </w:r>
    </w:p>
    <w:p w:rsidR="00092100" w:rsidRPr="005B1911" w:rsidRDefault="00092100" w:rsidP="00092100">
      <w:pPr>
        <w:spacing w:line="360" w:lineRule="auto"/>
        <w:jc w:val="both"/>
        <w:rPr>
          <w:b/>
          <w:bCs/>
          <w:sz w:val="24"/>
        </w:rPr>
      </w:pPr>
    </w:p>
    <w:p w:rsidR="00092100" w:rsidRDefault="00092100" w:rsidP="00092100">
      <w:pPr>
        <w:numPr>
          <w:ilvl w:val="0"/>
          <w:numId w:val="2"/>
        </w:numPr>
        <w:spacing w:line="360" w:lineRule="auto"/>
        <w:ind w:left="360"/>
        <w:jc w:val="both"/>
        <w:rPr>
          <w:sz w:val="24"/>
        </w:rPr>
      </w:pPr>
      <w:r>
        <w:rPr>
          <w:rFonts w:hint="cs"/>
          <w:sz w:val="24"/>
          <w:rtl/>
        </w:rPr>
        <w:t>העילה הראשונה לדחיית התביעה היא העדר הוכחה בדבר קיום זיקה בין נעמת לבין בית הספר. אין חולק כי בית הספר אינו מהווה אישיות משפטית וכי נעמת נרשמה כתאגיד, אלא שלפי קביעת בית המשפט, לא הוכחה הזיקה בין השניים. בא כוח הנפגעת סומך לעניין זה את טענותיו ב-נא/4. זהו מכתב על טופס רשמי של בית הספר, המתאר את האירוע. בכותרת המכתב שהיא חלק מהטופס, נאמר:</w:t>
      </w:r>
    </w:p>
    <w:p w:rsidR="00092100" w:rsidRDefault="00092100" w:rsidP="00092100">
      <w:pPr>
        <w:spacing w:line="360" w:lineRule="auto"/>
        <w:ind w:left="360"/>
        <w:jc w:val="both"/>
        <w:rPr>
          <w:sz w:val="24"/>
          <w:rtl/>
        </w:rPr>
      </w:pPr>
    </w:p>
    <w:p w:rsidR="00092100" w:rsidRDefault="00092100" w:rsidP="00092100">
      <w:pPr>
        <w:spacing w:line="360" w:lineRule="auto"/>
        <w:ind w:left="1530" w:right="1440"/>
        <w:jc w:val="both"/>
        <w:rPr>
          <w:b/>
          <w:bCs/>
          <w:sz w:val="24"/>
          <w:rtl/>
        </w:rPr>
      </w:pPr>
      <w:r>
        <w:rPr>
          <w:rFonts w:hint="cs"/>
          <w:b/>
          <w:bCs/>
          <w:sz w:val="24"/>
          <w:rtl/>
        </w:rPr>
        <w:lastRenderedPageBreak/>
        <w:t>"ההסתדרות הכללית של העובדים בארץ ישראל</w:t>
      </w:r>
      <w:r>
        <w:rPr>
          <w:rFonts w:hint="cs"/>
          <w:b/>
          <w:bCs/>
          <w:sz w:val="24"/>
          <w:rtl/>
        </w:rPr>
        <w:tab/>
      </w:r>
      <w:r>
        <w:rPr>
          <w:b/>
          <w:bCs/>
          <w:sz w:val="24"/>
          <w:rtl/>
        </w:rPr>
        <w:br/>
      </w:r>
      <w:r>
        <w:rPr>
          <w:rFonts w:hint="cs"/>
          <w:b/>
          <w:bCs/>
          <w:sz w:val="24"/>
          <w:rtl/>
        </w:rPr>
        <w:t>נעמת</w:t>
      </w:r>
      <w:r>
        <w:rPr>
          <w:rFonts w:hint="cs"/>
          <w:b/>
          <w:bCs/>
          <w:sz w:val="24"/>
          <w:rtl/>
        </w:rPr>
        <w:tab/>
      </w:r>
      <w:r>
        <w:rPr>
          <w:b/>
          <w:bCs/>
          <w:sz w:val="24"/>
          <w:rtl/>
        </w:rPr>
        <w:br/>
      </w:r>
      <w:r>
        <w:rPr>
          <w:rFonts w:hint="cs"/>
          <w:b/>
          <w:bCs/>
          <w:sz w:val="24"/>
          <w:rtl/>
        </w:rPr>
        <w:t xml:space="preserve">בית הספר החקלאי </w:t>
      </w:r>
      <w:r>
        <w:rPr>
          <w:b/>
          <w:bCs/>
          <w:sz w:val="24"/>
          <w:rtl/>
        </w:rPr>
        <w:t>-</w:t>
      </w:r>
      <w:r>
        <w:rPr>
          <w:rFonts w:hint="cs"/>
          <w:b/>
          <w:bCs/>
          <w:sz w:val="24"/>
          <w:rtl/>
        </w:rPr>
        <w:t xml:space="preserve"> התיכון עיינות."</w:t>
      </w:r>
    </w:p>
    <w:p w:rsidR="00092100" w:rsidRDefault="00092100" w:rsidP="00092100">
      <w:pPr>
        <w:spacing w:line="360" w:lineRule="auto"/>
        <w:ind w:left="1530" w:right="1440"/>
        <w:jc w:val="both"/>
        <w:rPr>
          <w:b/>
          <w:bCs/>
          <w:sz w:val="24"/>
          <w:rtl/>
        </w:rPr>
      </w:pPr>
    </w:p>
    <w:p w:rsidR="00092100" w:rsidRPr="00A76866" w:rsidRDefault="00092100" w:rsidP="00092100">
      <w:pPr>
        <w:spacing w:line="360" w:lineRule="auto"/>
        <w:ind w:left="360"/>
        <w:jc w:val="both"/>
        <w:rPr>
          <w:sz w:val="24"/>
          <w:rtl/>
        </w:rPr>
      </w:pPr>
      <w:r w:rsidRPr="00A76866">
        <w:rPr>
          <w:rFonts w:hint="cs"/>
          <w:sz w:val="24"/>
          <w:rtl/>
        </w:rPr>
        <w:t xml:space="preserve">ובתחתית המכתב, עדיין כחלק מהטופס, כתוב: </w:t>
      </w:r>
    </w:p>
    <w:p w:rsidR="00092100" w:rsidRDefault="00092100" w:rsidP="00092100">
      <w:pPr>
        <w:spacing w:line="360" w:lineRule="auto"/>
        <w:ind w:left="1530" w:right="1440"/>
        <w:jc w:val="both"/>
        <w:rPr>
          <w:b/>
          <w:bCs/>
          <w:sz w:val="24"/>
          <w:rtl/>
        </w:rPr>
      </w:pPr>
    </w:p>
    <w:p w:rsidR="00092100" w:rsidRPr="005B1911" w:rsidRDefault="00092100" w:rsidP="00092100">
      <w:pPr>
        <w:spacing w:line="360" w:lineRule="auto"/>
        <w:ind w:left="1530" w:right="1440"/>
        <w:jc w:val="both"/>
        <w:rPr>
          <w:sz w:val="24"/>
          <w:rtl/>
        </w:rPr>
      </w:pPr>
      <w:r>
        <w:rPr>
          <w:rFonts w:hint="cs"/>
          <w:b/>
          <w:bCs/>
          <w:sz w:val="24"/>
          <w:rtl/>
        </w:rPr>
        <w:t xml:space="preserve">"מיסודן ובבעלותן של מועצת הפועלות </w:t>
      </w:r>
      <w:r>
        <w:rPr>
          <w:b/>
          <w:bCs/>
          <w:sz w:val="24"/>
          <w:rtl/>
        </w:rPr>
        <w:t>-</w:t>
      </w:r>
      <w:r>
        <w:rPr>
          <w:rFonts w:hint="cs"/>
          <w:b/>
          <w:bCs/>
          <w:sz w:val="24"/>
          <w:rtl/>
        </w:rPr>
        <w:t xml:space="preserve"> נעמת והסתדרות ויצו העולמית."</w:t>
      </w:r>
    </w:p>
    <w:p w:rsidR="00092100" w:rsidRDefault="00092100" w:rsidP="00092100">
      <w:pPr>
        <w:spacing w:line="360" w:lineRule="auto"/>
        <w:ind w:left="360"/>
        <w:jc w:val="both"/>
        <w:rPr>
          <w:sz w:val="24"/>
        </w:rPr>
      </w:pPr>
    </w:p>
    <w:p w:rsidR="00092100" w:rsidRDefault="00092100" w:rsidP="00092100">
      <w:pPr>
        <w:numPr>
          <w:ilvl w:val="0"/>
          <w:numId w:val="2"/>
        </w:numPr>
        <w:spacing w:line="360" w:lineRule="auto"/>
        <w:ind w:left="360"/>
        <w:jc w:val="both"/>
        <w:rPr>
          <w:sz w:val="24"/>
        </w:rPr>
      </w:pPr>
      <w:r>
        <w:rPr>
          <w:rFonts w:hint="cs"/>
          <w:sz w:val="24"/>
          <w:rtl/>
        </w:rPr>
        <w:t>בית המשפט מצא שאין זהות בין שם נעמת, כפי שהוא מופיע בתביעה, לבין זה המופיע בטופס וכי אין באמור בטופס כדי להוות אינדיקציה לזיקה בין נעמת לבית בית הספר.</w:t>
      </w:r>
      <w:r>
        <w:rPr>
          <w:rFonts w:hint="cs"/>
          <w:sz w:val="24"/>
          <w:rtl/>
        </w:rPr>
        <w:tab/>
      </w:r>
      <w:r>
        <w:rPr>
          <w:sz w:val="24"/>
          <w:rtl/>
        </w:rPr>
        <w:br/>
      </w:r>
      <w:r>
        <w:rPr>
          <w:sz w:val="24"/>
          <w:rtl/>
        </w:rPr>
        <w:br/>
      </w:r>
      <w:r>
        <w:rPr>
          <w:rFonts w:hint="cs"/>
          <w:sz w:val="24"/>
          <w:rtl/>
        </w:rPr>
        <w:t>ראשית, יש לציין כי השם נעמת הוא ראשי תיבות של נשים עובדות מתנדבות (כשם המשיבה 2). שנית, נעמת נקטה מלכתחילה בדרך ההכחשה הטוטאלית והכחישה את היותה אישיות משפטית, על אף שחזרה בה משנתברר כי היא נרשמה כעמותה. על כך מתח עליה השופט קמא, ביקורת. כך עשתה גם לגבי הזיקה שלה לבית הספר. גם כאן ביקשה להיבנות מקשיי הוכחה של הנפגעת ואלמלא המכתב של בית הספר, היה הדבר אולי עולה בידה. אלא שלאחר הגשת מכתב זה, קמה ראיה לכאורית בדבר הזיקה בין נעמת לבין בית הספר וראוי היה שנעמת או בית הספר, או שניהם, יגיבו עניינית להוכחה לכאורית זו. הם לא עשו כן והראיה הלכאורית הפכה מספקת כדי ליצור את הזיקה הדרושה, גם אם ויצו שותפה לזיקה זו. גם מפי דברי מספר עדים, עולה הזיקה בין נעמת לבין בית הספר (תקציב, ביטוח, שליטה ועוד), וגם בטופס הודעה שהגישו המשיבים למבטחת האחריות שלהם, מוצגת נעמת כבעלת בית הספר.</w:t>
      </w:r>
    </w:p>
    <w:p w:rsidR="00092100" w:rsidRDefault="00092100" w:rsidP="00092100">
      <w:pPr>
        <w:spacing w:line="360" w:lineRule="auto"/>
        <w:jc w:val="both"/>
        <w:rPr>
          <w:sz w:val="24"/>
          <w:rtl/>
        </w:rPr>
      </w:pPr>
    </w:p>
    <w:p w:rsidR="00092100" w:rsidRDefault="00092100" w:rsidP="00092100">
      <w:pPr>
        <w:spacing w:line="360" w:lineRule="auto"/>
        <w:jc w:val="both"/>
        <w:rPr>
          <w:sz w:val="24"/>
          <w:rtl/>
        </w:rPr>
      </w:pPr>
      <w:r>
        <w:rPr>
          <w:rFonts w:hint="cs"/>
          <w:b/>
          <w:bCs/>
          <w:sz w:val="24"/>
          <w:rtl/>
        </w:rPr>
        <w:t>האחריות</w:t>
      </w:r>
    </w:p>
    <w:p w:rsidR="00092100" w:rsidRPr="00A76866" w:rsidRDefault="00092100" w:rsidP="00092100">
      <w:pPr>
        <w:spacing w:line="360" w:lineRule="auto"/>
        <w:jc w:val="both"/>
        <w:rPr>
          <w:sz w:val="24"/>
        </w:rPr>
      </w:pPr>
    </w:p>
    <w:p w:rsidR="00092100" w:rsidRPr="0040257A" w:rsidRDefault="00092100" w:rsidP="00092100">
      <w:pPr>
        <w:numPr>
          <w:ilvl w:val="0"/>
          <w:numId w:val="2"/>
        </w:numPr>
        <w:spacing w:line="360" w:lineRule="auto"/>
        <w:ind w:left="360"/>
        <w:jc w:val="both"/>
        <w:rPr>
          <w:sz w:val="24"/>
        </w:rPr>
      </w:pPr>
      <w:r w:rsidRPr="0040257A">
        <w:rPr>
          <w:rFonts w:hint="cs"/>
          <w:sz w:val="24"/>
          <w:rtl/>
        </w:rPr>
        <w:t>העץ הנדון הוא עץ חרוב גדול ועתיק ובית הספר כינהו כעתיק יום לאחר התאונה (נא/4). העץ ניצב על אם הדרך במקרקעי בית הספר והענף שקרס מן העץ ופגע בנפגעת היה גדול וכבד ביותר (מדריך הספורט ומפעיל הקיוסק ומספר תלמידים לא הצליחו להרימו מעל הנפגעת והיה צורך להזעיק לעזרה מספר תלמידים נוספים). בפני בית המשפט העיד מומחה מטעם הנפגעת בדבר הסיבות לנפילת הענף שהייתה תוצאה של שני גורמים מצטברים: פטריות שחדרו לגזע וכרסמו את ליבתו מבפנים (ואכן הענף שקרס היה חלול בתוכו) ומשקלו הרב של הענף.</w:t>
      </w:r>
      <w:r>
        <w:rPr>
          <w:sz w:val="24"/>
          <w:rtl/>
        </w:rPr>
        <w:tab/>
      </w:r>
      <w:r>
        <w:rPr>
          <w:sz w:val="24"/>
          <w:rtl/>
        </w:rPr>
        <w:br/>
      </w:r>
      <w:r>
        <w:rPr>
          <w:sz w:val="24"/>
          <w:rtl/>
        </w:rPr>
        <w:br/>
      </w:r>
      <w:r w:rsidRPr="0040257A">
        <w:rPr>
          <w:rFonts w:hint="cs"/>
          <w:sz w:val="24"/>
          <w:rtl/>
        </w:rPr>
        <w:t xml:space="preserve">ממסמך מתוך תיק הנוי של בית הספר (ת/28) עולה, כי נדרש גיזום העץ הנדון קודם למקרה. הגוזם, </w:t>
      </w:r>
      <w:r w:rsidRPr="0040257A">
        <w:rPr>
          <w:rFonts w:hint="cs"/>
          <w:sz w:val="24"/>
          <w:rtl/>
        </w:rPr>
        <w:lastRenderedPageBreak/>
        <w:t>מר קמחי, העיד שגיזום העץ נעשה רק לאחר התאונה ומר לביא, מנהלו של בית הספר, העיד כי לפי מיטב זכרונו לא נעשו גיזומים בעצים לפני התאונה. מרכז הנוי ומרכז המשק לא ידעו לומר אם אכן בוצע גיזום. הענף שקרס בוודאי לא נגזם.</w:t>
      </w:r>
    </w:p>
    <w:p w:rsidR="00092100" w:rsidRPr="0040257A" w:rsidRDefault="00092100" w:rsidP="00092100">
      <w:pPr>
        <w:spacing w:line="360" w:lineRule="auto"/>
        <w:ind w:left="360"/>
        <w:jc w:val="both"/>
        <w:rPr>
          <w:sz w:val="24"/>
        </w:rPr>
      </w:pPr>
    </w:p>
    <w:p w:rsidR="00092100" w:rsidRDefault="00092100" w:rsidP="00092100">
      <w:pPr>
        <w:numPr>
          <w:ilvl w:val="0"/>
          <w:numId w:val="2"/>
        </w:numPr>
        <w:spacing w:line="360" w:lineRule="auto"/>
        <w:ind w:left="360"/>
        <w:jc w:val="both"/>
        <w:rPr>
          <w:sz w:val="24"/>
        </w:rPr>
      </w:pPr>
      <w:r w:rsidRPr="0040257A">
        <w:rPr>
          <w:rFonts w:hint="cs"/>
          <w:sz w:val="24"/>
          <w:rtl/>
        </w:rPr>
        <w:t>בית המשפט קבע, כי התברר "ללא ספק שבבית הספר לא היה הסדר ברור בדבר האחריות לטיפול בעצים". אין מחלוקת שבשטח בו היה מצוי העץ, עברו במשך היום רבים מתלמידי בית הספר. בגלל סוגו של העץ (עץ חרוב), גודלו, גילו, אורכו וכובד ענפיו, ובמיוחד הענף שקרס, והיותו מועד להיות מותקף על ידי מזיקים ופטריות, היה על בית הספר לנקוט בצעדים כדי לבדוק ולוודא שאין העץ או ענפיו מהווים סכנה לשלום אלה העוברים לידו או תחתיו. לא היה קושי להיעזר בגנן מקצועי שעמד לרשות בית הספר שהעסיק גנן, על מנת לבדוק מעת לעת בתדירות סבירה לעניין זה, את מצב העצים</w:t>
      </w:r>
      <w:r>
        <w:rPr>
          <w:rFonts w:hint="cs"/>
          <w:sz w:val="24"/>
          <w:rtl/>
        </w:rPr>
        <w:t xml:space="preserve"> בשטח שבאחזקת בית הספר. לא היה קושי להצטייד בידע לפיו קיומם של חורים וסדקים בגזע וענפי העץ, הם אינדיקציה לפטריות או לחדירה אפשרית של מזיקים הפוגעים בתוכן הגזע או הענפים, באופן הגורם לריקבון ולהפיכת העץ או ענפיו לחלולים עד כדי סכנת הישברות, קריסה ונפילה. ואם לא די באי הנהגת נוהל קבוע ומסודר, היו ראיות על מחדלים ביחס לעץ הנדון. התראה על צורך בגיזום נמצאת בת/28, מסמך מתוך תיק הנוי של בית הספר, שהשופט קמא לא הזכירו. הייתה התראה של הגוזם מר קמחי שאמר בבית המשפט:</w:t>
      </w:r>
    </w:p>
    <w:p w:rsidR="00092100" w:rsidRDefault="00092100" w:rsidP="00092100">
      <w:pPr>
        <w:pStyle w:val="ListParagraph1"/>
        <w:rPr>
          <w:sz w:val="24"/>
          <w:rtl/>
        </w:rPr>
      </w:pPr>
    </w:p>
    <w:p w:rsidR="00092100" w:rsidRDefault="00092100" w:rsidP="00092100">
      <w:pPr>
        <w:spacing w:line="360" w:lineRule="auto"/>
        <w:ind w:left="1530" w:right="1440"/>
        <w:jc w:val="both"/>
        <w:rPr>
          <w:b/>
          <w:bCs/>
          <w:sz w:val="24"/>
          <w:rtl/>
        </w:rPr>
      </w:pPr>
      <w:r w:rsidRPr="003E52A9">
        <w:rPr>
          <w:rFonts w:hint="cs"/>
          <w:b/>
          <w:bCs/>
          <w:sz w:val="24"/>
          <w:rtl/>
        </w:rPr>
        <w:t xml:space="preserve">"ידוע שעצי חרוב בגודל כזה, בגיל מסויים כזה, הם נוטים לרקבונות פנימיים שרק בעל מקצוע כורת או בעל נסיון יכול לדעת מה מצב העצים במקום. </w:t>
      </w:r>
      <w:r w:rsidRPr="003E52A9">
        <w:rPr>
          <w:rFonts w:hint="cs"/>
          <w:b/>
          <w:bCs/>
          <w:sz w:val="24"/>
          <w:u w:val="single"/>
          <w:rtl/>
        </w:rPr>
        <w:t>אני התרעתי לפני בית ספר עיינות</w:t>
      </w:r>
      <w:r w:rsidRPr="003E52A9">
        <w:rPr>
          <w:rFonts w:hint="cs"/>
          <w:b/>
          <w:bCs/>
          <w:sz w:val="24"/>
          <w:rtl/>
        </w:rPr>
        <w:t>".</w:t>
      </w:r>
    </w:p>
    <w:p w:rsidR="00092100" w:rsidRDefault="00092100" w:rsidP="00092100">
      <w:pPr>
        <w:spacing w:line="360" w:lineRule="auto"/>
        <w:ind w:left="1530" w:right="1440"/>
        <w:jc w:val="both"/>
        <w:rPr>
          <w:b/>
          <w:bCs/>
          <w:sz w:val="24"/>
          <w:rtl/>
        </w:rPr>
      </w:pPr>
    </w:p>
    <w:p w:rsidR="00092100" w:rsidRDefault="00092100" w:rsidP="00092100">
      <w:pPr>
        <w:spacing w:line="360" w:lineRule="auto"/>
        <w:ind w:left="360"/>
        <w:jc w:val="both"/>
        <w:rPr>
          <w:sz w:val="24"/>
          <w:rtl/>
        </w:rPr>
      </w:pPr>
      <w:r w:rsidRPr="0040257A">
        <w:rPr>
          <w:rFonts w:hint="cs"/>
          <w:sz w:val="24"/>
          <w:rtl/>
        </w:rPr>
        <w:t>כאמור, לא התעלם בית המשפט מן הסכנות הכרוכות בעץ הנדון, אלא שהגיע למסקנה כי מצב זה לא הטיל על המשיבים חובת זהירות, משום שבאיזון בין השיקולים הציבוריים של הקצאת משאבים וסדר עדיפויות, לבין שלום הפרט, גוברים הראשונים. בית המשפט הביע חשש כי הטלת האחריות לנזק הנגרם על ידי עץ נופל בנסיבות כגון אלה שבפנינו, עלולה להביא לתוצאות שאינן רצויות מבחינת הציבור. אין אני סבורה כך.</w:t>
      </w:r>
    </w:p>
    <w:p w:rsidR="00092100" w:rsidRDefault="00092100" w:rsidP="00092100">
      <w:pPr>
        <w:spacing w:line="360" w:lineRule="auto"/>
        <w:ind w:left="360"/>
        <w:jc w:val="both"/>
        <w:rPr>
          <w:sz w:val="24"/>
          <w:rtl/>
        </w:rPr>
      </w:pPr>
    </w:p>
    <w:p w:rsidR="00092100" w:rsidRPr="0040257A" w:rsidRDefault="00092100" w:rsidP="00092100">
      <w:pPr>
        <w:numPr>
          <w:ilvl w:val="0"/>
          <w:numId w:val="2"/>
        </w:numPr>
        <w:spacing w:line="360" w:lineRule="auto"/>
        <w:ind w:left="360"/>
        <w:jc w:val="both"/>
        <w:rPr>
          <w:sz w:val="24"/>
        </w:rPr>
      </w:pPr>
      <w:r>
        <w:rPr>
          <w:rFonts w:hint="cs"/>
          <w:sz w:val="24"/>
          <w:rtl/>
        </w:rPr>
        <w:t xml:space="preserve">אין אנו נדרשים לעצב נורמה כללית שתחול על כל אדם בגין עצים שבחצרו הפרטים או בגנים ציבוריים, ביערות ובחורשות, או לקבוע נורמה כללית לפיה יש לבדוק מעת לעת את כל העצים הצומחים בכל אתר ואתר ציבורי או פרטי, כדי להיווכח במצבם ובתקינותם. המקרה הנוכחי אינו מחייב הצבת נורמה כזו. די בכך שנתמקד בנזק שהיה צפוי מעץ החרוב המסויים, במקום בו הוא </w:t>
      </w:r>
      <w:r w:rsidRPr="0040257A">
        <w:rPr>
          <w:rFonts w:hint="cs"/>
          <w:sz w:val="24"/>
          <w:rtl/>
        </w:rPr>
        <w:t xml:space="preserve">ניצב ובמצב בו היה ובסיכון שהוא היווה. מדובר בבית ספר המופקד על שלום תלמידיו. במקרקעין שבחזקתו נמצא עץ גדול ועתיק שענפיו ארוכים וכבדים במיוחד. בשטח בו נטוע העץ עוברים רבים מתלמידי בית הספר העלולים להיפגע ממנו. האמצעים למניעת סכנה צפויה מענפים ארוכים </w:t>
      </w:r>
      <w:r w:rsidRPr="0040257A">
        <w:rPr>
          <w:rFonts w:hint="cs"/>
          <w:sz w:val="24"/>
          <w:rtl/>
        </w:rPr>
        <w:lastRenderedPageBreak/>
        <w:t xml:space="preserve">וכבדים העלולים להיפגע מפגעי הזמן בגלל גילו של העץ, פשוטים וזולים יחסית. האמצעי לבדוק ולהרחיק את הסכנה, מצוי בהישג יד של בית הספר וניתן ליישום ללא הוצאות יוצאות דופן וללא צורך להיזקק לאמצעים חריגים. מסתבר, כאמור, שלא היה נוהל בבית הספר לפיקוח ולהשגחה על עצים הנטועים בשטחו ולמניעת סיכון בטיחותי מהם. עוד הסתבר, כי נוהל כזה קיים במקומות אחרים כגון אוניברסיטת תל-אביב ועיריית תל-אביב, כפי שהעיד העד המומחה מטעם הנפגעת, אלא שבית משפט קמא קבע </w:t>
      </w:r>
      <w:r w:rsidRPr="0040257A">
        <w:rPr>
          <w:sz w:val="24"/>
          <w:rtl/>
        </w:rPr>
        <w:t>-</w:t>
      </w:r>
      <w:r w:rsidRPr="0040257A">
        <w:rPr>
          <w:rFonts w:hint="cs"/>
          <w:sz w:val="24"/>
          <w:rtl/>
        </w:rPr>
        <w:t xml:space="preserve"> משום מה </w:t>
      </w:r>
      <w:r w:rsidRPr="0040257A">
        <w:rPr>
          <w:sz w:val="24"/>
          <w:rtl/>
        </w:rPr>
        <w:t>-</w:t>
      </w:r>
      <w:r w:rsidRPr="0040257A">
        <w:rPr>
          <w:rFonts w:hint="cs"/>
          <w:sz w:val="24"/>
          <w:rtl/>
        </w:rPr>
        <w:t xml:space="preserve"> כי "נוהגו של העד ושל עיריית תל-אביב אינם ראיה לאמות מידה המקובלות על הכלל". לא הוכחו לבית משפט אמות מידה סותרות המקובלות על הכלל והנוהג עליו דיבר העד, נראה סביר והולם. כאן חברו יחד עובדות מיוחדות. בדיקה וגיזום יכלו להגן מפני האסון שקרה. המטלה המוטלת על ידי כך על בית הספר איננה גדולה מדי, איננה קשה מדי ואיננה יקרה מדי, לעומת הסכנה הנשקפת לתלמידיו.</w:t>
      </w:r>
      <w:r w:rsidRPr="0040257A">
        <w:rPr>
          <w:sz w:val="24"/>
          <w:rtl/>
        </w:rPr>
        <w:tab/>
      </w:r>
      <w:r w:rsidRPr="0040257A">
        <w:rPr>
          <w:sz w:val="24"/>
          <w:rtl/>
        </w:rPr>
        <w:br/>
      </w:r>
      <w:r w:rsidRPr="0040257A">
        <w:rPr>
          <w:sz w:val="24"/>
          <w:rtl/>
        </w:rPr>
        <w:br/>
      </w:r>
      <w:r w:rsidRPr="0040257A">
        <w:rPr>
          <w:rFonts w:hint="cs"/>
          <w:sz w:val="24"/>
          <w:rtl/>
        </w:rPr>
        <w:t>אשר על כן, בהתחשב בנסיבותיו המיוחדות של מקרה זה, יש להטיל אחריות על המשיבות.</w:t>
      </w:r>
    </w:p>
    <w:p w:rsidR="00092100" w:rsidRPr="0040257A" w:rsidRDefault="00092100" w:rsidP="00092100">
      <w:pPr>
        <w:spacing w:line="360" w:lineRule="auto"/>
        <w:jc w:val="both"/>
        <w:rPr>
          <w:sz w:val="24"/>
          <w:rtl/>
        </w:rPr>
      </w:pPr>
    </w:p>
    <w:p w:rsidR="00092100" w:rsidRPr="0040257A" w:rsidRDefault="00092100" w:rsidP="00092100">
      <w:pPr>
        <w:spacing w:line="360" w:lineRule="auto"/>
        <w:jc w:val="both"/>
        <w:rPr>
          <w:sz w:val="24"/>
          <w:rtl/>
        </w:rPr>
      </w:pPr>
      <w:r w:rsidRPr="0040257A">
        <w:rPr>
          <w:rFonts w:hint="cs"/>
          <w:b/>
          <w:bCs/>
          <w:sz w:val="24"/>
          <w:rtl/>
        </w:rPr>
        <w:t>הערעור שכנגד</w:t>
      </w:r>
    </w:p>
    <w:p w:rsidR="00092100" w:rsidRPr="0040257A" w:rsidRDefault="00092100" w:rsidP="00092100">
      <w:pPr>
        <w:spacing w:line="360" w:lineRule="auto"/>
        <w:ind w:left="1530" w:right="1440"/>
        <w:jc w:val="both"/>
        <w:rPr>
          <w:b/>
          <w:bCs/>
          <w:sz w:val="24"/>
        </w:rPr>
      </w:pPr>
    </w:p>
    <w:p w:rsidR="00092100" w:rsidRPr="0040257A" w:rsidRDefault="00092100" w:rsidP="00092100">
      <w:pPr>
        <w:numPr>
          <w:ilvl w:val="0"/>
          <w:numId w:val="2"/>
        </w:numPr>
        <w:spacing w:line="360" w:lineRule="auto"/>
        <w:ind w:left="360"/>
        <w:jc w:val="both"/>
        <w:rPr>
          <w:sz w:val="24"/>
        </w:rPr>
      </w:pPr>
      <w:r w:rsidRPr="0040257A">
        <w:rPr>
          <w:rFonts w:hint="cs"/>
          <w:sz w:val="24"/>
          <w:rtl/>
        </w:rPr>
        <w:t xml:space="preserve">בית הספר ונעמת הגישו ערעור שכנגד, בו מבקשים הם שאם הערעור של הנפגעת יתקבל ואם יחוייבו כלפיה, יחייב בית המשפט את הקרן הקיימת לישראל כלפיהם. הטעם לכך הוא </w:t>
      </w:r>
      <w:r w:rsidRPr="0040257A">
        <w:rPr>
          <w:sz w:val="24"/>
          <w:rtl/>
        </w:rPr>
        <w:t>-</w:t>
      </w:r>
      <w:r w:rsidRPr="0040257A">
        <w:rPr>
          <w:rFonts w:hint="cs"/>
          <w:sz w:val="24"/>
          <w:rtl/>
        </w:rPr>
        <w:t xml:space="preserve"> לטענתם </w:t>
      </w:r>
      <w:r w:rsidRPr="0040257A">
        <w:rPr>
          <w:sz w:val="24"/>
          <w:rtl/>
        </w:rPr>
        <w:t>-</w:t>
      </w:r>
      <w:r w:rsidRPr="0040257A">
        <w:rPr>
          <w:rFonts w:hint="cs"/>
          <w:sz w:val="24"/>
          <w:rtl/>
        </w:rPr>
        <w:t xml:space="preserve"> כי מעדויות שהיו בפני בית המשפט ומעדות היערן של הקרן הקיימת לישראל עולה, כי בידי הקרן הקיימת לישראל היה הפיקוח וההשגחה על העצים בשטח. היערן העיד:</w:t>
      </w:r>
    </w:p>
    <w:p w:rsidR="00092100" w:rsidRPr="0040257A" w:rsidRDefault="00092100" w:rsidP="00092100">
      <w:pPr>
        <w:spacing w:line="360" w:lineRule="auto"/>
        <w:ind w:left="360"/>
        <w:jc w:val="both"/>
        <w:rPr>
          <w:sz w:val="24"/>
          <w:rtl/>
        </w:rPr>
      </w:pPr>
    </w:p>
    <w:p w:rsidR="00092100" w:rsidRPr="0040257A" w:rsidRDefault="00092100" w:rsidP="00092100">
      <w:pPr>
        <w:spacing w:line="360" w:lineRule="auto"/>
        <w:ind w:left="1530" w:right="1440"/>
        <w:jc w:val="both"/>
        <w:rPr>
          <w:b/>
          <w:bCs/>
          <w:sz w:val="24"/>
          <w:rtl/>
        </w:rPr>
      </w:pPr>
      <w:r w:rsidRPr="0040257A">
        <w:rPr>
          <w:rFonts w:hint="cs"/>
          <w:b/>
          <w:bCs/>
          <w:sz w:val="24"/>
          <w:rtl/>
        </w:rPr>
        <w:t>"התבקשתי לבוא לבית הספר עיינות ולתת ייעוץ מקצועי לגבי גיזום של עצי יער ועצים מוגנים."</w:t>
      </w:r>
    </w:p>
    <w:p w:rsidR="00092100" w:rsidRPr="0040257A" w:rsidRDefault="00092100" w:rsidP="00092100">
      <w:pPr>
        <w:spacing w:line="360" w:lineRule="auto"/>
        <w:ind w:left="1530" w:right="1440"/>
        <w:jc w:val="both"/>
        <w:rPr>
          <w:b/>
          <w:bCs/>
          <w:sz w:val="24"/>
          <w:rtl/>
        </w:rPr>
      </w:pPr>
    </w:p>
    <w:p w:rsidR="00092100" w:rsidRPr="0040257A" w:rsidRDefault="00092100" w:rsidP="00092100">
      <w:pPr>
        <w:spacing w:line="360" w:lineRule="auto"/>
        <w:ind w:left="360"/>
        <w:jc w:val="both"/>
        <w:rPr>
          <w:sz w:val="24"/>
          <w:rtl/>
        </w:rPr>
      </w:pPr>
      <w:r w:rsidRPr="0040257A">
        <w:rPr>
          <w:rFonts w:hint="cs"/>
          <w:sz w:val="24"/>
          <w:rtl/>
        </w:rPr>
        <w:t>ובהמשך:</w:t>
      </w:r>
    </w:p>
    <w:p w:rsidR="00092100" w:rsidRPr="0040257A" w:rsidRDefault="00092100" w:rsidP="00092100">
      <w:pPr>
        <w:spacing w:line="360" w:lineRule="auto"/>
        <w:ind w:left="360"/>
        <w:jc w:val="both"/>
        <w:rPr>
          <w:sz w:val="24"/>
          <w:rtl/>
        </w:rPr>
      </w:pPr>
    </w:p>
    <w:p w:rsidR="00092100" w:rsidRPr="0040257A" w:rsidRDefault="00092100" w:rsidP="00092100">
      <w:pPr>
        <w:spacing w:line="360" w:lineRule="auto"/>
        <w:ind w:left="1530" w:right="1440"/>
        <w:jc w:val="both"/>
        <w:rPr>
          <w:b/>
          <w:bCs/>
          <w:sz w:val="24"/>
          <w:rtl/>
        </w:rPr>
      </w:pPr>
      <w:r w:rsidRPr="0040257A">
        <w:rPr>
          <w:rFonts w:hint="cs"/>
          <w:b/>
          <w:bCs/>
          <w:sz w:val="24"/>
          <w:rtl/>
        </w:rPr>
        <w:t>"אני נתתי ייעוץ מקצועי במקום לגבי שאר העצים וכל העצים היו תקינים."</w:t>
      </w:r>
    </w:p>
    <w:p w:rsidR="00092100" w:rsidRPr="0040257A" w:rsidRDefault="00092100" w:rsidP="00092100">
      <w:pPr>
        <w:spacing w:line="360" w:lineRule="auto"/>
        <w:ind w:left="1530" w:right="1440"/>
        <w:jc w:val="both"/>
        <w:rPr>
          <w:b/>
          <w:bCs/>
          <w:sz w:val="24"/>
          <w:rtl/>
        </w:rPr>
      </w:pPr>
    </w:p>
    <w:p w:rsidR="00092100" w:rsidRPr="0040257A" w:rsidRDefault="00092100" w:rsidP="00092100">
      <w:pPr>
        <w:spacing w:line="360" w:lineRule="auto"/>
        <w:ind w:left="360"/>
        <w:jc w:val="both"/>
        <w:rPr>
          <w:sz w:val="24"/>
          <w:rtl/>
        </w:rPr>
      </w:pPr>
      <w:r w:rsidRPr="0040257A">
        <w:rPr>
          <w:rFonts w:hint="cs"/>
          <w:sz w:val="24"/>
          <w:rtl/>
        </w:rPr>
        <w:t>כמו כן אמר אותו עד בעדותו במשטרה, כי עשה בדיקה במקום כחודשיים לפני המקרה ונתן חוות דעת והוסיף כי הם גזמו וכי היה במקום גם לאחר המקרה. ברור שאת הענף שקרס ביום האירוע, לא גזמו. לא ברור שהורה על גיזום העץ הנדון.</w:t>
      </w:r>
      <w:r w:rsidRPr="0040257A">
        <w:rPr>
          <w:sz w:val="24"/>
          <w:rtl/>
        </w:rPr>
        <w:tab/>
      </w:r>
    </w:p>
    <w:p w:rsidR="00092100" w:rsidRPr="0040257A" w:rsidRDefault="00092100" w:rsidP="00092100">
      <w:pPr>
        <w:spacing w:line="360" w:lineRule="auto"/>
        <w:ind w:left="360"/>
        <w:jc w:val="both"/>
        <w:rPr>
          <w:sz w:val="24"/>
          <w:rtl/>
        </w:rPr>
      </w:pPr>
    </w:p>
    <w:p w:rsidR="00092100" w:rsidRPr="0040257A" w:rsidRDefault="00092100" w:rsidP="00092100">
      <w:pPr>
        <w:numPr>
          <w:ilvl w:val="0"/>
          <w:numId w:val="2"/>
        </w:numPr>
        <w:spacing w:line="360" w:lineRule="auto"/>
        <w:ind w:left="360"/>
        <w:jc w:val="both"/>
        <w:rPr>
          <w:sz w:val="24"/>
          <w:rtl/>
        </w:rPr>
      </w:pPr>
      <w:r w:rsidRPr="0040257A">
        <w:rPr>
          <w:rFonts w:hint="cs"/>
          <w:sz w:val="24"/>
          <w:rtl/>
        </w:rPr>
        <w:lastRenderedPageBreak/>
        <w:t>אכן עולה מהעדויות השונות, כי נהגו לגזום עצים על פי הנחיות אנשי הקרן הקיימת לישראל. בא כוחה של הקרן הקיימת לישראל טוען כי יערני הקרן הקיימת לישראל פועלים על פי חוק והחוק אינו מטיל עליהם ואינו מסמיך אותם לייעץ בנושא בטיחות העצים, אלא תפקידם הוא אך ורק מתן רשיונות כריתה לעצים מוגנים וכי כך נהגו בפועל. מן הראיות עולה, שבמקרה הנדון לא כך נהגו. אינני מתעלמת מכך שבפיסקה האחרונה של פסק הדין של בית משפט קמא, תחת הכותרת "סוף דבר", כאשר נדונה פסיקת ההוצאות, קובע השופט קמא כי לא הוכח שעל אנשי הקרן הקיימת לישראל לקיים בקרה על העצים ולייעץ באשר לטיפול בהם. עם זאת קובע הוא, כי ראוי היה שבשל בקיאותם יתנו היערנים ששלחה הקרן הקיימת לישראל, דעתם על מצב העצים ולא יסתפקו במתן אישורים לכריתת עצים בלבד. התייחסותו לאחריות הקרן הקיימת לישראל לא הייתה צריכה לגופו של פסק הדין, משום שהתביעה נגד הנתבעים נדחתה וממילא נפלה ההודעה לצד שלישי ללא צורך בדיון ענייני בה. סבורתני שהדברים המועטים שנאמרו על ידי בית המשפט באשר לתפקידם של היערנים, אינם עולים בקנה אחד עם מה שהעידו היערנים עצמם ועדים אחרים על התפקיד שמילאו בפועל אנשי הקרן הקיימת לישראל בייעוץ ובהדרכה. לפיכך, יש להטיל חלק מן האחריות על הקרן הקיימת לישראל.</w:t>
      </w:r>
    </w:p>
    <w:p w:rsidR="00092100" w:rsidRPr="0040257A" w:rsidRDefault="00092100" w:rsidP="00092100">
      <w:pPr>
        <w:spacing w:line="360" w:lineRule="auto"/>
        <w:ind w:left="360"/>
        <w:jc w:val="both"/>
        <w:rPr>
          <w:sz w:val="24"/>
          <w:rtl/>
        </w:rPr>
      </w:pPr>
    </w:p>
    <w:p w:rsidR="00092100" w:rsidRPr="0040257A" w:rsidRDefault="00092100" w:rsidP="00092100">
      <w:pPr>
        <w:numPr>
          <w:ilvl w:val="0"/>
          <w:numId w:val="2"/>
        </w:numPr>
        <w:spacing w:line="360" w:lineRule="auto"/>
        <w:ind w:left="360"/>
        <w:jc w:val="both"/>
        <w:rPr>
          <w:sz w:val="24"/>
        </w:rPr>
      </w:pPr>
      <w:r w:rsidRPr="0040257A">
        <w:rPr>
          <w:rFonts w:hint="cs"/>
          <w:sz w:val="24"/>
          <w:rtl/>
        </w:rPr>
        <w:t>ראש אחר בערעור שכנגד הוא ערעור על החלטת ביניים, שלא לאפשר העדת עד מומחה, ד"ר זהבי. העד, שהוא עובד הקרן הקיימת לישראל, הוזמן מלכתחילה על ידי הקרן הקיימת לישראל והגיש חוות דעת לעניין היחסים בין המשיבות לבין עצמן ולעניין הסיבות לתאונה. התיזה שלו עמדה בניגוד גמור לזו של המומחים מטעם המשיבים. חוות דעתו כללית ומדברת על ריקבון ופטריות היוצרות חלל בגזע. המשיבות הגישו שתי חוות דעת, כשהתיזה שלהן היא כי המקרה קרה בגלל תנאי מזג האוויר, משב רוח שגרם לנפילה. משהוברר שההודעה לצד שלישי תימחק בהסכמה, נשלח ד"ר זהבי לדרכו מבלי שיעיד, ומבלי שהייתה הבנה מוקדמת שאם לא יעיד מטעם הקרן הקיימת לישראל, יעיד מטעם המשיבות. במצב דברים זה, אין מקום להתערב בהחלטתו של השופט קמא.</w:t>
      </w:r>
    </w:p>
    <w:p w:rsidR="00092100" w:rsidRPr="0040257A" w:rsidRDefault="00092100" w:rsidP="00092100">
      <w:pPr>
        <w:pStyle w:val="ListParagraph1"/>
        <w:rPr>
          <w:sz w:val="24"/>
          <w:rtl/>
        </w:rPr>
      </w:pPr>
    </w:p>
    <w:p w:rsidR="00092100" w:rsidRPr="0040257A" w:rsidRDefault="00092100" w:rsidP="00092100">
      <w:pPr>
        <w:numPr>
          <w:ilvl w:val="0"/>
          <w:numId w:val="2"/>
        </w:numPr>
        <w:spacing w:line="360" w:lineRule="auto"/>
        <w:ind w:left="360"/>
        <w:jc w:val="both"/>
        <w:rPr>
          <w:sz w:val="24"/>
        </w:rPr>
      </w:pPr>
      <w:r w:rsidRPr="0040257A">
        <w:rPr>
          <w:rFonts w:hint="cs"/>
          <w:sz w:val="24"/>
          <w:rtl/>
        </w:rPr>
        <w:t>ראש ערעור נוסף למערערים שכנגד המתייחס להחלטת ביניים שקבעה, כי חוות דעתה של מנהלת השירות המטאורולוגי, היא בבחינת עדות שמיעה. קביעה זו אינה רלבנטית לאור קביעתו הנכונה של בית משפט קמא, לפיה לא הוכח כי היו ביום האירוע, במקום האירוע, תופעות חריגות של מזג אוויר שגרמו לקריסת הענף. אומר על כך השופט קמא:</w:t>
      </w:r>
    </w:p>
    <w:p w:rsidR="00092100" w:rsidRPr="0040257A" w:rsidRDefault="00092100" w:rsidP="00092100">
      <w:pPr>
        <w:pStyle w:val="ListParagraph1"/>
        <w:rPr>
          <w:sz w:val="24"/>
          <w:rtl/>
        </w:rPr>
      </w:pPr>
    </w:p>
    <w:p w:rsidR="00092100" w:rsidRPr="0040257A" w:rsidRDefault="00092100" w:rsidP="00092100">
      <w:pPr>
        <w:spacing w:line="360" w:lineRule="auto"/>
        <w:ind w:left="1530" w:right="1440"/>
        <w:jc w:val="both"/>
        <w:rPr>
          <w:b/>
          <w:bCs/>
          <w:sz w:val="24"/>
          <w:rtl/>
        </w:rPr>
      </w:pPr>
      <w:r w:rsidRPr="0040257A">
        <w:rPr>
          <w:rFonts w:hint="cs"/>
          <w:b/>
          <w:bCs/>
          <w:sz w:val="24"/>
          <w:rtl/>
        </w:rPr>
        <w:t xml:space="preserve">"לפיכך הנני קובע שאין בפני ראיה כי אכן היו ביום האירוע בעיינות תופעות חריגות של מזג האוויר </w:t>
      </w:r>
      <w:r w:rsidRPr="0040257A">
        <w:rPr>
          <w:rFonts w:hint="cs"/>
          <w:b/>
          <w:bCs/>
          <w:sz w:val="24"/>
          <w:u w:val="single"/>
          <w:rtl/>
        </w:rPr>
        <w:t>הן מכיוון שדבר זה לא הוכח</w:t>
      </w:r>
      <w:r w:rsidRPr="0040257A">
        <w:rPr>
          <w:rFonts w:hint="cs"/>
          <w:b/>
          <w:bCs/>
          <w:sz w:val="24"/>
          <w:rtl/>
        </w:rPr>
        <w:t xml:space="preserve"> והן מכיוון שהראיות שהובאו בפניי מטעם השירות המטאורולוגי לא היו קבילות. אלא שלאור קביעתי הקודמת, אין השלכות לקביעתי זו."</w:t>
      </w:r>
    </w:p>
    <w:p w:rsidR="00092100" w:rsidRPr="0040257A" w:rsidRDefault="00092100" w:rsidP="00092100">
      <w:pPr>
        <w:spacing w:line="360" w:lineRule="auto"/>
        <w:ind w:left="1530" w:right="1440"/>
        <w:jc w:val="both"/>
        <w:rPr>
          <w:b/>
          <w:bCs/>
          <w:sz w:val="24"/>
          <w:rtl/>
        </w:rPr>
      </w:pPr>
    </w:p>
    <w:p w:rsidR="00092100" w:rsidRPr="0040257A" w:rsidRDefault="00092100" w:rsidP="00092100">
      <w:pPr>
        <w:spacing w:line="360" w:lineRule="auto"/>
        <w:ind w:left="360"/>
        <w:jc w:val="both"/>
        <w:rPr>
          <w:sz w:val="24"/>
          <w:rtl/>
        </w:rPr>
      </w:pPr>
      <w:r w:rsidRPr="0040257A">
        <w:rPr>
          <w:rFonts w:hint="cs"/>
          <w:sz w:val="24"/>
          <w:rtl/>
        </w:rPr>
        <w:t>מכאן שחוות הדעת נדחתה לגופה.</w:t>
      </w:r>
    </w:p>
    <w:p w:rsidR="00092100" w:rsidRPr="0040257A" w:rsidRDefault="00092100" w:rsidP="00092100">
      <w:pPr>
        <w:spacing w:line="360" w:lineRule="auto"/>
        <w:jc w:val="both"/>
        <w:rPr>
          <w:sz w:val="24"/>
          <w:rtl/>
        </w:rPr>
      </w:pPr>
    </w:p>
    <w:p w:rsidR="00092100" w:rsidRPr="0040257A" w:rsidRDefault="00092100" w:rsidP="00092100">
      <w:pPr>
        <w:spacing w:line="360" w:lineRule="auto"/>
        <w:jc w:val="both"/>
        <w:rPr>
          <w:sz w:val="24"/>
          <w:rtl/>
        </w:rPr>
      </w:pPr>
      <w:r w:rsidRPr="0040257A">
        <w:rPr>
          <w:rFonts w:hint="cs"/>
          <w:b/>
          <w:bCs/>
          <w:sz w:val="24"/>
          <w:rtl/>
        </w:rPr>
        <w:t>הנזק</w:t>
      </w:r>
    </w:p>
    <w:p w:rsidR="00092100" w:rsidRPr="0040257A" w:rsidRDefault="00092100" w:rsidP="00092100">
      <w:pPr>
        <w:spacing w:line="360" w:lineRule="auto"/>
        <w:ind w:left="360"/>
        <w:jc w:val="both"/>
        <w:rPr>
          <w:sz w:val="24"/>
        </w:rPr>
      </w:pPr>
    </w:p>
    <w:p w:rsidR="00092100" w:rsidRPr="0040257A" w:rsidRDefault="00092100" w:rsidP="00815C7C">
      <w:pPr>
        <w:numPr>
          <w:ilvl w:val="0"/>
          <w:numId w:val="2"/>
        </w:numPr>
        <w:spacing w:line="360" w:lineRule="auto"/>
        <w:ind w:left="360"/>
        <w:jc w:val="both"/>
        <w:rPr>
          <w:sz w:val="24"/>
        </w:rPr>
      </w:pPr>
      <w:r w:rsidRPr="0040257A">
        <w:rPr>
          <w:rFonts w:hint="cs"/>
          <w:sz w:val="24"/>
          <w:rtl/>
        </w:rPr>
        <w:t>בית משפט קמא קבע את גובה הנזק, על אף שדחה את התביעה ופירט אותו לפי ראשיו. לנפגעת נגרמה נכות של 100% לצמיתות. הנפגעת מעלה טענות שונות המתייחסות לראשי הנזק השונים, אשר במרביתן אם לא בכולן, נפסק לה, לטענתה, סכום נמוך מהראוי ומהמגיע.</w:t>
      </w:r>
      <w:r w:rsidRPr="0040257A">
        <w:rPr>
          <w:sz w:val="24"/>
          <w:rtl/>
        </w:rPr>
        <w:tab/>
      </w:r>
      <w:r w:rsidRPr="0040257A">
        <w:rPr>
          <w:sz w:val="24"/>
          <w:rtl/>
        </w:rPr>
        <w:br/>
      </w:r>
      <w:r w:rsidRPr="0040257A">
        <w:rPr>
          <w:sz w:val="24"/>
          <w:rtl/>
        </w:rPr>
        <w:br/>
      </w:r>
      <w:r w:rsidRPr="0040257A">
        <w:rPr>
          <w:rFonts w:hint="cs"/>
          <w:sz w:val="24"/>
          <w:rtl/>
        </w:rPr>
        <w:t>אשר להפסד השתכרות, קבע בית המשפט כתשתית, סכום הנמוך מהשכר הממוצע במשק. נימוקו של השופט לכך הוא, הקשיים הקוגניטיביים שנתגלו אצל הנפגעת לפני התאונה, עליהם הצביעו שתי חוות דעת רפואיות של מומחים רפואיים. השופט קמא לא חישב את ההפסד על פי 100% נכות, משום שעל פי חוות דעת המומחה השיקומי פרופ' סולסי, תוכל הנפגעת להתפרנס בכל עבודה המתאימה לכישוריה, בישיבה, והיא אכן עבדה חלקית בפועל. גם יתר הקביעות מעוגנות בחומר הראיות שהיה בפני בית המשפט.</w:t>
      </w:r>
      <w:r w:rsidRPr="0040257A">
        <w:rPr>
          <w:sz w:val="24"/>
          <w:rtl/>
        </w:rPr>
        <w:tab/>
      </w:r>
      <w:r w:rsidRPr="0040257A">
        <w:rPr>
          <w:sz w:val="24"/>
          <w:rtl/>
        </w:rPr>
        <w:br/>
      </w:r>
      <w:r w:rsidRPr="0040257A">
        <w:rPr>
          <w:rFonts w:hint="cs"/>
          <w:sz w:val="24"/>
          <w:rtl/>
        </w:rPr>
        <w:t>בדקתי את כל ראשי הנזק לפרטיו ולסכומיו, תוך התייחסות לפגיעה הקשה ממנה סובלת ותסבול הנפגעת כל ימי חייה, והגעתי לכלל מסקנה, כי בהתחשב בגילה הצעיר של הנפגעת ובסיכויי שיקומה, אין פרטי הנזק לראשיהם, או איזה מהם, מצדיקים את התערבותנו, פרט לפריט אחד שגוי והוא ניכוי מס הכנסה מהסכום של 3,200 ₪ לחודש, שהועמד על 3,000 ₪ ועל ידי כך הוקטן הסכום הבסיסי לחישוב ההפסד. הניכוי נעשה שלא כדין, משום שאין מדובר בתאונת דרכים וההשתכרות הנלקחת בחשבון היא ברוטו.</w:t>
      </w:r>
    </w:p>
    <w:p w:rsidR="00092100" w:rsidRPr="0040257A" w:rsidRDefault="00092100" w:rsidP="00092100">
      <w:pPr>
        <w:numPr>
          <w:ilvl w:val="0"/>
          <w:numId w:val="2"/>
        </w:numPr>
        <w:spacing w:line="360" w:lineRule="auto"/>
        <w:ind w:left="360"/>
        <w:jc w:val="both"/>
        <w:rPr>
          <w:sz w:val="24"/>
        </w:rPr>
      </w:pPr>
      <w:r w:rsidRPr="0040257A">
        <w:rPr>
          <w:color w:val="FFFFFF"/>
          <w:sz w:val="2"/>
          <w:szCs w:val="2"/>
          <w:rtl/>
        </w:rPr>
        <w:t>5129371</w:t>
      </w:r>
      <w:r w:rsidRPr="0040257A">
        <w:rPr>
          <w:rFonts w:hint="cs"/>
          <w:sz w:val="24"/>
          <w:rtl/>
        </w:rPr>
        <w:t>אשר על כן, מציעה אני לקבל את הערעור, לבטל את פסק דינו של בית משפט קמא, ככל שהוא נוגע לנושא החבות ולחייב את המשיבים, יחד ולחוד, לשלם למערערת את מלוא סכום הנזק שנקבע בפסק דינו של בית משפט קמא, בתיקון חישוב הפסד ההשתכרות, שייעשה על בסיס של 3,200 ₪ (במקום 3,000 ₪). כמו כן מציעה אני לחייב את הקרן הקיימת לישראל לשפות את המשיבים, כדי מחצית הסכום בו חוייבו כלפי המערערת ולחייב את המשיבים, יחד ולחוד, לשלם למערערת הוצאות בשתי הערכאות ושכר טרחת עורך דין בשיעור של 20% מסכום פסק הדין ושכר טרחת עורך דין בבית משפט זה בסך 10,000 ₪. הקרן הקיימת לישראל תחזיר למשיבות מחצית מן ההוצאות ושכר הטרחה.</w:t>
      </w:r>
    </w:p>
    <w:p w:rsidR="00092100" w:rsidRPr="0040257A" w:rsidRDefault="00092100" w:rsidP="00092100">
      <w:pPr>
        <w:pStyle w:val="ListParagraph1"/>
        <w:rPr>
          <w:color w:val="FFFFFF"/>
          <w:sz w:val="2"/>
          <w:szCs w:val="2"/>
          <w:rtl/>
        </w:rPr>
      </w:pPr>
      <w:r w:rsidRPr="0040257A">
        <w:rPr>
          <w:color w:val="FFFFFF"/>
          <w:sz w:val="2"/>
          <w:szCs w:val="2"/>
          <w:rtl/>
        </w:rPr>
        <w:t>54678313</w:t>
      </w:r>
    </w:p>
    <w:p w:rsidR="00092100" w:rsidRPr="0040257A" w:rsidRDefault="00092100" w:rsidP="00EF3119">
      <w:pPr>
        <w:spacing w:line="360" w:lineRule="auto"/>
        <w:jc w:val="both"/>
        <w:rPr>
          <w:sz w:val="24"/>
          <w:rtl/>
        </w:rPr>
      </w:pPr>
      <w:r w:rsidRPr="0040257A">
        <w:rPr>
          <w:rFonts w:hint="cs"/>
          <w:b/>
          <w:bCs/>
          <w:sz w:val="24"/>
          <w:rtl/>
        </w:rPr>
        <w:t>השופטת ד' דורנר:</w:t>
      </w:r>
      <w:r w:rsidRPr="0040257A">
        <w:rPr>
          <w:sz w:val="24"/>
          <w:rtl/>
        </w:rPr>
        <w:tab/>
      </w:r>
      <w:r w:rsidRPr="0040257A">
        <w:rPr>
          <w:sz w:val="24"/>
          <w:rtl/>
        </w:rPr>
        <w:br/>
      </w:r>
      <w:r w:rsidRPr="0040257A">
        <w:rPr>
          <w:rFonts w:hint="cs"/>
          <w:sz w:val="24"/>
          <w:rtl/>
        </w:rPr>
        <w:t>אני מסכימה.</w:t>
      </w:r>
      <w:r w:rsidRPr="0040257A">
        <w:rPr>
          <w:rFonts w:hint="cs"/>
          <w:sz w:val="24"/>
          <w:rtl/>
        </w:rPr>
        <w:tab/>
      </w:r>
      <w:r w:rsidRPr="0040257A">
        <w:rPr>
          <w:sz w:val="24"/>
          <w:rtl/>
        </w:rPr>
        <w:br/>
      </w:r>
      <w:r w:rsidRPr="0040257A">
        <w:rPr>
          <w:rFonts w:hint="cs"/>
          <w:b/>
          <w:bCs/>
          <w:sz w:val="24"/>
          <w:rtl/>
        </w:rPr>
        <w:t>השופט י' טירקל:</w:t>
      </w:r>
      <w:r w:rsidRPr="0040257A">
        <w:rPr>
          <w:sz w:val="24"/>
          <w:rtl/>
        </w:rPr>
        <w:tab/>
      </w:r>
      <w:r w:rsidRPr="0040257A">
        <w:rPr>
          <w:sz w:val="24"/>
          <w:rtl/>
        </w:rPr>
        <w:br/>
      </w:r>
      <w:r w:rsidRPr="0040257A">
        <w:rPr>
          <w:rFonts w:hint="cs"/>
          <w:sz w:val="24"/>
          <w:rtl/>
        </w:rPr>
        <w:t>אני מסכים.</w:t>
      </w:r>
      <w:r w:rsidRPr="0040257A">
        <w:rPr>
          <w:sz w:val="24"/>
          <w:rtl/>
        </w:rPr>
        <w:tab/>
      </w:r>
      <w:r w:rsidRPr="0040257A">
        <w:rPr>
          <w:sz w:val="24"/>
          <w:rtl/>
        </w:rPr>
        <w:br/>
      </w:r>
      <w:r w:rsidRPr="0040257A">
        <w:rPr>
          <w:rFonts w:hint="cs"/>
          <w:sz w:val="24"/>
          <w:rtl/>
        </w:rPr>
        <w:lastRenderedPageBreak/>
        <w:t xml:space="preserve">אכן, "אילן שעושה פירות בשעה שכורתין אותו, קולו הולך מסוף העולם ועד סופו" (פרקי דרבי אליעזר, לד), אולם, במקרה הנדון, היה דינו של אותו ענף חרוב, להיכרת. כפי שציינה חברתי, השופטת ט' שטרסברג-כהן, מגלה העיון במסמך מתוך תיק הנוי של בית הספר, כי לפני האירוע הנדון נדרש "גיזום מספר ענפים מ-3 עצי חרוב על ידי תחנת אגד". הענף </w:t>
      </w:r>
      <w:r w:rsidRPr="0040257A">
        <w:rPr>
          <w:sz w:val="24"/>
          <w:rtl/>
        </w:rPr>
        <w:t>-</w:t>
      </w:r>
      <w:r w:rsidRPr="0040257A">
        <w:rPr>
          <w:rFonts w:hint="cs"/>
          <w:sz w:val="24"/>
          <w:rtl/>
        </w:rPr>
        <w:t xml:space="preserve"> או גזע המשנה </w:t>
      </w:r>
      <w:r w:rsidRPr="0040257A">
        <w:rPr>
          <w:sz w:val="24"/>
          <w:rtl/>
        </w:rPr>
        <w:t>-</w:t>
      </w:r>
      <w:r w:rsidRPr="0040257A">
        <w:rPr>
          <w:rFonts w:hint="cs"/>
          <w:sz w:val="24"/>
          <w:rtl/>
        </w:rPr>
        <w:t xml:space="preserve"> שקרס, הוא אחד מאלה ובטרם קריסתו לא נגזם. גם הצילומים שצולם גדם העץ שנותר (מוצגי ת/17), מעידים בבירור על משקלו הגדול של הענף שקרס ועל כך שהיה חלול בתוכו.</w:t>
      </w:r>
      <w:r w:rsidRPr="0040257A">
        <w:rPr>
          <w:rFonts w:hint="cs"/>
          <w:sz w:val="24"/>
          <w:rtl/>
        </w:rPr>
        <w:tab/>
      </w:r>
      <w:r w:rsidRPr="0040257A">
        <w:rPr>
          <w:sz w:val="24"/>
          <w:rtl/>
        </w:rPr>
        <w:br/>
      </w:r>
      <w:r w:rsidRPr="0040257A">
        <w:rPr>
          <w:sz w:val="24"/>
          <w:rtl/>
        </w:rPr>
        <w:br/>
      </w:r>
      <w:r w:rsidRPr="0040257A">
        <w:rPr>
          <w:rFonts w:hint="cs"/>
          <w:sz w:val="24"/>
          <w:rtl/>
        </w:rPr>
        <w:t>לאור נסיבותיו המיוחדות של המקרה הנדון ומאחר שאין המסקנה צריכה לעיצובה של נורמה, החלטתי לצרף את דעתי לדעתה.</w:t>
      </w:r>
      <w:r w:rsidRPr="0040257A">
        <w:rPr>
          <w:sz w:val="24"/>
          <w:rtl/>
        </w:rPr>
        <w:tab/>
      </w:r>
      <w:r w:rsidRPr="0040257A">
        <w:rPr>
          <w:sz w:val="24"/>
          <w:rtl/>
        </w:rPr>
        <w:br/>
      </w:r>
    </w:p>
    <w:p w:rsidR="00092100" w:rsidRPr="0040257A" w:rsidRDefault="00092100" w:rsidP="0040257A">
      <w:pPr>
        <w:keepNext/>
        <w:spacing w:line="360" w:lineRule="auto"/>
        <w:rPr>
          <w:rFonts w:ascii="David" w:hAnsi="David"/>
          <w:color w:val="000000"/>
          <w:sz w:val="22"/>
          <w:szCs w:val="22"/>
        </w:rPr>
      </w:pPr>
      <w:r w:rsidRPr="0040257A">
        <w:rPr>
          <w:rFonts w:hint="cs"/>
          <w:sz w:val="24"/>
          <w:rtl/>
        </w:rPr>
        <w:t>הוחלט כאמור בפסק דינה של כב' השופטת ט' שטרסברג-כהן.</w:t>
      </w:r>
      <w:r w:rsidRPr="0040257A">
        <w:rPr>
          <w:rFonts w:hint="cs"/>
          <w:sz w:val="24"/>
          <w:rtl/>
        </w:rPr>
        <w:tab/>
      </w:r>
      <w:r w:rsidRPr="0040257A">
        <w:rPr>
          <w:sz w:val="24"/>
          <w:rtl/>
        </w:rPr>
        <w:br/>
        <w:t xml:space="preserve">ניתן היום, כ' באדר א' תשנ"ז (27/2/97). </w:t>
      </w:r>
    </w:p>
    <w:p w:rsidR="00092100" w:rsidRPr="0040257A" w:rsidRDefault="00092100" w:rsidP="00092100">
      <w:pPr>
        <w:keepNext/>
        <w:spacing w:line="360" w:lineRule="auto"/>
        <w:rPr>
          <w:rFonts w:ascii="David" w:hAnsi="David"/>
          <w:color w:val="000000"/>
          <w:sz w:val="22"/>
          <w:szCs w:val="22"/>
          <w:rtl/>
        </w:rPr>
      </w:pPr>
      <w:r w:rsidRPr="0040257A">
        <w:rPr>
          <w:rFonts w:ascii="David" w:hAnsi="David"/>
          <w:color w:val="000000"/>
          <w:sz w:val="22"/>
          <w:szCs w:val="22"/>
          <w:rtl/>
        </w:rPr>
        <w:t>ט' שטרסברג כהן 54678313-3022/95</w:t>
      </w:r>
    </w:p>
    <w:sectPr w:rsidR="00092100" w:rsidRPr="0040257A" w:rsidSect="00EF3119">
      <w:headerReference w:type="even" r:id="rId7"/>
      <w:footerReference w:type="even" r:id="rId8"/>
      <w:pgSz w:w="12240" w:h="15840"/>
      <w:pgMar w:top="1701" w:right="1620" w:bottom="1977" w:left="1980" w:header="720" w:footer="720" w:gutter="0"/>
      <w:pgNumType w:start="1"/>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57A" w:rsidRDefault="0040257A">
      <w:r>
        <w:separator/>
      </w:r>
    </w:p>
  </w:endnote>
  <w:endnote w:type="continuationSeparator" w:id="0">
    <w:p w:rsidR="0040257A" w:rsidRDefault="00402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David">
    <w:panose1 w:val="020E0502060401010101"/>
    <w:charset w:val="B1"/>
    <w:family w:val="swiss"/>
    <w:pitch w:val="variable"/>
    <w:sig w:usb0="00000801" w:usb1="00000000" w:usb2="00000000" w:usb3="00000000" w:csb0="00000020" w:csb1="00000000"/>
  </w:font>
  <w:font w:name="FrankRuehl">
    <w:panose1 w:val="020E0503060101010101"/>
    <w:charset w:val="B1"/>
    <w:family w:val="swiss"/>
    <w:pitch w:val="variable"/>
    <w:sig w:usb0="00000801" w:usb1="00000000" w:usb2="00000000" w:usb3="00000000" w:csb0="00000020" w:csb1="00000000"/>
  </w:font>
  <w:font w:name="Miriam">
    <w:panose1 w:val="020B05020501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257A" w:rsidRDefault="0040257A" w:rsidP="00EF3119">
    <w:pPr>
      <w:pStyle w:val="a5"/>
      <w:jc w:val="center"/>
      <w:rPr>
        <w:rFonts w:ascii="FrankRuehl" w:hAnsi="FrankRuehl" w:cs="FrankRuehl"/>
        <w:sz w:val="24"/>
      </w:rPr>
    </w:pPr>
    <w:r>
      <w:rPr>
        <w:rFonts w:ascii="FrankRuehl" w:hAnsi="FrankRuehl" w:cs="FrankRuehl"/>
        <w:sz w:val="24"/>
        <w:rtl/>
      </w:rPr>
      <w:fldChar w:fldCharType="begin"/>
    </w:r>
    <w:r>
      <w:rPr>
        <w:rFonts w:ascii="FrankRuehl" w:hAnsi="FrankRuehl" w:cs="FrankRuehl"/>
        <w:sz w:val="24"/>
        <w:rtl/>
      </w:rPr>
      <w:instrText xml:space="preserve"> </w:instrText>
    </w:r>
    <w:r>
      <w:rPr>
        <w:rFonts w:ascii="FrankRuehl" w:hAnsi="FrankRuehl" w:cs="FrankRuehl"/>
        <w:sz w:val="24"/>
      </w:rPr>
      <w:instrText>PAGE</w:instrText>
    </w:r>
    <w:r>
      <w:rPr>
        <w:rFonts w:ascii="FrankRuehl" w:hAnsi="FrankRuehl" w:cs="FrankRuehl"/>
        <w:sz w:val="24"/>
        <w:rtl/>
      </w:rPr>
      <w:instrText xml:space="preserve">  \* </w:instrText>
    </w:r>
    <w:r>
      <w:rPr>
        <w:rFonts w:ascii="FrankRuehl" w:hAnsi="FrankRuehl" w:cs="FrankRuehl"/>
        <w:sz w:val="24"/>
      </w:rPr>
      <w:instrText>MERGEFORMAT</w:instrText>
    </w:r>
    <w:r>
      <w:rPr>
        <w:rFonts w:ascii="FrankRuehl" w:hAnsi="FrankRuehl" w:cs="FrankRuehl"/>
        <w:sz w:val="24"/>
        <w:rtl/>
      </w:rPr>
      <w:instrText xml:space="preserve"> </w:instrText>
    </w:r>
    <w:r>
      <w:rPr>
        <w:rFonts w:ascii="FrankRuehl" w:hAnsi="FrankRuehl" w:cs="FrankRuehl"/>
        <w:sz w:val="24"/>
        <w:rtl/>
      </w:rPr>
      <w:fldChar w:fldCharType="separate"/>
    </w:r>
    <w:r>
      <w:rPr>
        <w:rFonts w:ascii="FrankRuehl" w:hAnsi="FrankRuehl" w:cs="FrankRuehl"/>
        <w:noProof/>
        <w:sz w:val="24"/>
        <w:rtl/>
      </w:rPr>
      <w:t>8</w:t>
    </w:r>
    <w:r>
      <w:rPr>
        <w:rFonts w:ascii="FrankRuehl" w:hAnsi="FrankRuehl" w:cs="FrankRuehl"/>
        <w:sz w:val="24"/>
        <w:rtl/>
      </w:rPr>
      <w:fldChar w:fldCharType="end"/>
    </w:r>
  </w:p>
  <w:p w:rsidR="0040257A" w:rsidRPr="00605772" w:rsidRDefault="0040257A" w:rsidP="00EF3119">
    <w:pPr>
      <w:pStyle w:val="a5"/>
      <w:pBdr>
        <w:top w:val="single" w:sz="4" w:space="1" w:color="auto"/>
        <w:between w:val="single" w:sz="4" w:space="0" w:color="auto"/>
      </w:pBdr>
      <w:spacing w:after="60"/>
      <w:jc w:val="center"/>
      <w:rPr>
        <w:rFonts w:ascii="FrankRuehl" w:hAnsi="FrankRuehl" w:cs="FrankRuehl"/>
        <w:color w:val="000000"/>
        <w:sz w:val="24"/>
      </w:rPr>
    </w:pPr>
    <w:r w:rsidRPr="00605772">
      <w:rPr>
        <w:rFonts w:ascii="FrankRuehl" w:hAnsi="FrankRuehl" w:cs="FrankRuehl"/>
        <w:noProof/>
        <w:color w:val="000000"/>
        <w:sz w:val="24"/>
      </w:rPr>
      <w:drawing>
        <wp:inline distT="0" distB="0" distL="0" distR="0">
          <wp:extent cx="554990" cy="226060"/>
          <wp:effectExtent l="0" t="0" r="0" b="2540"/>
          <wp:docPr id="2" name="תמונה 2" descr="Nevo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vologo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4990" cy="2260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57A" w:rsidRDefault="0040257A">
      <w:r>
        <w:separator/>
      </w:r>
    </w:p>
  </w:footnote>
  <w:footnote w:type="continuationSeparator" w:id="0">
    <w:p w:rsidR="0040257A" w:rsidRDefault="004025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257A" w:rsidRPr="00605772" w:rsidRDefault="0040257A" w:rsidP="00EF3119">
    <w:pPr>
      <w:pStyle w:val="a3"/>
      <w:pBdr>
        <w:bottom w:val="single" w:sz="4" w:space="1" w:color="auto"/>
      </w:pBdr>
      <w:tabs>
        <w:tab w:val="clear" w:pos="4680"/>
        <w:tab w:val="clear" w:pos="9360"/>
        <w:tab w:val="right" w:pos="8311"/>
      </w:tabs>
      <w:spacing w:line="220" w:lineRule="exact"/>
      <w:rPr>
        <w:rFonts w:ascii="David" w:hAnsi="David"/>
        <w:color w:val="000000"/>
        <w:sz w:val="22"/>
        <w:szCs w:val="22"/>
        <w:rtl/>
      </w:rPr>
    </w:pPr>
    <w:r>
      <w:rPr>
        <w:rFonts w:ascii="David" w:hAnsi="David"/>
        <w:color w:val="000000"/>
        <w:sz w:val="22"/>
        <w:szCs w:val="22"/>
        <w:rtl/>
      </w:rPr>
      <w:t xml:space="preserve">בשא 3022/95 </w:t>
    </w:r>
    <w:r>
      <w:rPr>
        <w:rFonts w:ascii="David" w:hAnsi="David"/>
        <w:color w:val="000000"/>
        <w:sz w:val="22"/>
        <w:szCs w:val="22"/>
        <w:rtl/>
      </w:rPr>
      <w:tab/>
      <w:t xml:space="preserve"> יהודית גרינבלט נ' בית הספר החקלאי תיכון עיינות</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C03A30"/>
    <w:multiLevelType w:val="hybridMultilevel"/>
    <w:tmpl w:val="856CF9DE"/>
    <w:lvl w:ilvl="0" w:tplc="C218BAB0">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DF3BA1"/>
    <w:multiLevelType w:val="hybridMultilevel"/>
    <w:tmpl w:val="3BDAA6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7AC8"/>
    <w:rsid w:val="00002AC3"/>
    <w:rsid w:val="00092100"/>
    <w:rsid w:val="000A5A31"/>
    <w:rsid w:val="00185C9D"/>
    <w:rsid w:val="002E15DE"/>
    <w:rsid w:val="002E705A"/>
    <w:rsid w:val="003E0CD7"/>
    <w:rsid w:val="0040257A"/>
    <w:rsid w:val="00815C7C"/>
    <w:rsid w:val="0088602A"/>
    <w:rsid w:val="008F12E4"/>
    <w:rsid w:val="009323FF"/>
    <w:rsid w:val="009B5255"/>
    <w:rsid w:val="00A11CE3"/>
    <w:rsid w:val="00A93B76"/>
    <w:rsid w:val="00B47BC8"/>
    <w:rsid w:val="00E07AC8"/>
    <w:rsid w:val="00EB4A4B"/>
    <w:rsid w:val="00EF3119"/>
    <w:rsid w:val="00F07A57"/>
    <w:rsid w:val="00F65E1F"/>
    <w:rsid w:val="00FB1BC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707DF835-DFC4-4E38-AD05-4E5E6D776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92100"/>
    <w:pPr>
      <w:overflowPunct w:val="0"/>
      <w:autoSpaceDE w:val="0"/>
      <w:autoSpaceDN w:val="0"/>
      <w:bidi/>
      <w:adjustRightInd w:val="0"/>
      <w:spacing w:after="0" w:line="240" w:lineRule="auto"/>
    </w:pPr>
    <w:rPr>
      <w:rFonts w:ascii="Times New Roman" w:eastAsia="Times New Roman" w:hAnsi="Times New Roman" w:cs="David"/>
      <w:sz w:val="2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uller3">
    <w:name w:val="Ruller 3"/>
    <w:basedOn w:val="a"/>
    <w:rsid w:val="00092100"/>
    <w:pPr>
      <w:tabs>
        <w:tab w:val="left" w:pos="3210"/>
        <w:tab w:val="left" w:pos="6753"/>
      </w:tabs>
      <w:spacing w:line="360" w:lineRule="auto"/>
    </w:pPr>
    <w:rPr>
      <w:rFonts w:cs="FrankRuehl"/>
      <w:spacing w:val="10"/>
      <w:sz w:val="22"/>
      <w:szCs w:val="28"/>
    </w:rPr>
  </w:style>
  <w:style w:type="paragraph" w:customStyle="1" w:styleId="FileNumber">
    <w:name w:val="File Number"/>
    <w:basedOn w:val="a"/>
    <w:rsid w:val="00092100"/>
    <w:pPr>
      <w:spacing w:line="360" w:lineRule="auto"/>
      <w:jc w:val="right"/>
    </w:pPr>
    <w:rPr>
      <w:bCs/>
    </w:rPr>
  </w:style>
  <w:style w:type="paragraph" w:customStyle="1" w:styleId="BodyRuller">
    <w:name w:val="Body Ruller"/>
    <w:basedOn w:val="a"/>
    <w:rsid w:val="00092100"/>
    <w:rPr>
      <w:sz w:val="22"/>
      <w:szCs w:val="28"/>
    </w:rPr>
  </w:style>
  <w:style w:type="paragraph" w:customStyle="1" w:styleId="FileNumber0">
    <w:name w:val="סגנון File Number + ימין"/>
    <w:basedOn w:val="FileNumber"/>
    <w:rsid w:val="00092100"/>
    <w:pPr>
      <w:jc w:val="left"/>
    </w:pPr>
    <w:rPr>
      <w:szCs w:val="28"/>
    </w:rPr>
  </w:style>
  <w:style w:type="paragraph" w:customStyle="1" w:styleId="DocumentHead">
    <w:name w:val="Document Head"/>
    <w:basedOn w:val="a"/>
    <w:rsid w:val="00092100"/>
    <w:pPr>
      <w:spacing w:line="360" w:lineRule="auto"/>
      <w:jc w:val="center"/>
    </w:pPr>
    <w:rPr>
      <w:bCs/>
      <w:spacing w:val="30"/>
      <w:szCs w:val="28"/>
      <w:u w:val="single"/>
    </w:rPr>
  </w:style>
  <w:style w:type="paragraph" w:customStyle="1" w:styleId="ListParagraph1">
    <w:name w:val="List Paragraph1"/>
    <w:basedOn w:val="a"/>
    <w:uiPriority w:val="34"/>
    <w:qFormat/>
    <w:rsid w:val="00092100"/>
    <w:pPr>
      <w:ind w:left="720"/>
    </w:pPr>
  </w:style>
  <w:style w:type="paragraph" w:styleId="a3">
    <w:name w:val="header"/>
    <w:basedOn w:val="a"/>
    <w:link w:val="a4"/>
    <w:rsid w:val="00092100"/>
    <w:pPr>
      <w:tabs>
        <w:tab w:val="center" w:pos="4680"/>
        <w:tab w:val="right" w:pos="9360"/>
      </w:tabs>
    </w:pPr>
  </w:style>
  <w:style w:type="character" w:customStyle="1" w:styleId="a4">
    <w:name w:val="כותרת עליונה תו"/>
    <w:basedOn w:val="a0"/>
    <w:link w:val="a3"/>
    <w:rsid w:val="00092100"/>
    <w:rPr>
      <w:rFonts w:ascii="Times New Roman" w:eastAsia="Times New Roman" w:hAnsi="Times New Roman" w:cs="David"/>
      <w:sz w:val="20"/>
      <w:szCs w:val="24"/>
    </w:rPr>
  </w:style>
  <w:style w:type="paragraph" w:styleId="a5">
    <w:name w:val="footer"/>
    <w:basedOn w:val="a"/>
    <w:link w:val="a6"/>
    <w:rsid w:val="00092100"/>
    <w:pPr>
      <w:tabs>
        <w:tab w:val="center" w:pos="4680"/>
        <w:tab w:val="right" w:pos="9360"/>
      </w:tabs>
    </w:pPr>
  </w:style>
  <w:style w:type="character" w:customStyle="1" w:styleId="a6">
    <w:name w:val="כותרת תחתונה תו"/>
    <w:basedOn w:val="a0"/>
    <w:link w:val="a5"/>
    <w:rsid w:val="00092100"/>
    <w:rPr>
      <w:rFonts w:ascii="Times New Roman" w:eastAsia="Times New Roman" w:hAnsi="Times New Roman" w:cs="David"/>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2090</Words>
  <Characters>10453</Characters>
  <Application>Microsoft Office Word</Application>
  <DocSecurity>0</DocSecurity>
  <Lines>87</Lines>
  <Paragraphs>25</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12518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Haim Kalir</dc:creator>
  <cp:keywords/>
  <dc:description/>
  <cp:lastModifiedBy>Haim Kalir</cp:lastModifiedBy>
  <cp:revision>2</cp:revision>
  <dcterms:created xsi:type="dcterms:W3CDTF">2022-01-26T04:04:00Z</dcterms:created>
  <dcterms:modified xsi:type="dcterms:W3CDTF">2022-01-26T04:04:00Z</dcterms:modified>
</cp:coreProperties>
</file>